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B30" w:rsidRDefault="00C96797">
      <w:pPr>
        <w:pStyle w:val="Heading1"/>
        <w:spacing w:after="16" w:line="259" w:lineRule="auto"/>
        <w:ind w:left="265"/>
      </w:pPr>
      <w:r>
        <w:rPr>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-139278</wp:posOffset>
                </wp:positionV>
                <wp:extent cx="6139053" cy="1676400"/>
                <wp:effectExtent l="0" t="0" r="0" b="0"/>
                <wp:wrapNone/>
                <wp:docPr id="46732" name="Group 46732"/>
                <wp:cNvGraphicFramePr/>
                <a:graphic xmlns:a="http://schemas.openxmlformats.org/drawingml/2006/main">
                  <a:graphicData uri="http://schemas.microsoft.com/office/word/2010/wordprocessingGroup">
                    <wpg:wgp>
                      <wpg:cNvGrpSpPr/>
                      <wpg:grpSpPr>
                        <a:xfrm>
                          <a:off x="0" y="0"/>
                          <a:ext cx="6139053" cy="1676400"/>
                          <a:chOff x="0" y="0"/>
                          <a:chExt cx="6139053" cy="1676400"/>
                        </a:xfrm>
                      </wpg:grpSpPr>
                      <wps:wsp>
                        <wps:cNvPr id="3235" name="Shape 3235"/>
                        <wps:cNvSpPr/>
                        <wps:spPr>
                          <a:xfrm>
                            <a:off x="4826" y="4826"/>
                            <a:ext cx="6129528" cy="1666875"/>
                          </a:xfrm>
                          <a:custGeom>
                            <a:avLst/>
                            <a:gdLst/>
                            <a:ahLst/>
                            <a:cxnLst/>
                            <a:rect l="0" t="0" r="0" b="0"/>
                            <a:pathLst>
                              <a:path w="6129528" h="1666875">
                                <a:moveTo>
                                  <a:pt x="0" y="0"/>
                                </a:moveTo>
                                <a:cubicBezTo>
                                  <a:pt x="0" y="0"/>
                                  <a:pt x="0" y="0"/>
                                  <a:pt x="6129528" y="0"/>
                                </a:cubicBezTo>
                                <a:cubicBezTo>
                                  <a:pt x="6129528" y="0"/>
                                  <a:pt x="6129528" y="0"/>
                                  <a:pt x="6129528" y="1666875"/>
                                </a:cubicBezTo>
                                <a:cubicBezTo>
                                  <a:pt x="6129528" y="1666875"/>
                                  <a:pt x="6129528" y="1666875"/>
                                  <a:pt x="0" y="1666875"/>
                                </a:cubicBezTo>
                                <a:cubicBezTo>
                                  <a:pt x="0" y="1666875"/>
                                  <a:pt x="0" y="1666875"/>
                                  <a:pt x="0" y="0"/>
                                </a:cubicBezTo>
                                <a:close/>
                              </a:path>
                            </a:pathLst>
                          </a:custGeom>
                          <a:ln w="0" cap="sq">
                            <a:miter lim="127000"/>
                          </a:ln>
                        </wps:spPr>
                        <wps:style>
                          <a:lnRef idx="0">
                            <a:srgbClr val="000000">
                              <a:alpha val="0"/>
                            </a:srgbClr>
                          </a:lnRef>
                          <a:fillRef idx="1">
                            <a:srgbClr val="F0F0F0"/>
                          </a:fillRef>
                          <a:effectRef idx="0">
                            <a:scrgbClr r="0" g="0" b="0"/>
                          </a:effectRef>
                          <a:fontRef idx="none"/>
                        </wps:style>
                        <wps:bodyPr/>
                      </wps:wsp>
                      <wps:wsp>
                        <wps:cNvPr id="3236" name="Shape 3236"/>
                        <wps:cNvSpPr/>
                        <wps:spPr>
                          <a:xfrm>
                            <a:off x="0" y="0"/>
                            <a:ext cx="3069527" cy="1676400"/>
                          </a:xfrm>
                          <a:custGeom>
                            <a:avLst/>
                            <a:gdLst/>
                            <a:ahLst/>
                            <a:cxnLst/>
                            <a:rect l="0" t="0" r="0" b="0"/>
                            <a:pathLst>
                              <a:path w="3069527" h="1676400">
                                <a:moveTo>
                                  <a:pt x="0" y="0"/>
                                </a:moveTo>
                                <a:lnTo>
                                  <a:pt x="3069527" y="0"/>
                                </a:lnTo>
                                <a:lnTo>
                                  <a:pt x="3069527" y="9525"/>
                                </a:lnTo>
                                <a:lnTo>
                                  <a:pt x="9525" y="9525"/>
                                </a:lnTo>
                                <a:cubicBezTo>
                                  <a:pt x="9525" y="9525"/>
                                  <a:pt x="9525" y="9525"/>
                                  <a:pt x="9525" y="1666875"/>
                                </a:cubicBezTo>
                                <a:cubicBezTo>
                                  <a:pt x="9525" y="1666875"/>
                                  <a:pt x="9525" y="1666875"/>
                                  <a:pt x="2927770" y="1666875"/>
                                </a:cubicBezTo>
                                <a:lnTo>
                                  <a:pt x="3069527" y="1666875"/>
                                </a:lnTo>
                                <a:lnTo>
                                  <a:pt x="3069527" y="1676400"/>
                                </a:lnTo>
                                <a:lnTo>
                                  <a:pt x="2927329" y="1676400"/>
                                </a:lnTo>
                                <a:cubicBezTo>
                                  <a:pt x="0" y="1676400"/>
                                  <a:pt x="0" y="1676400"/>
                                  <a:pt x="0" y="1676400"/>
                                </a:cubicBezTo>
                                <a:cubicBezTo>
                                  <a:pt x="0" y="0"/>
                                  <a:pt x="0" y="0"/>
                                  <a:pt x="0" y="0"/>
                                </a:cubicBezTo>
                                <a:close/>
                              </a:path>
                            </a:pathLst>
                          </a:custGeom>
                          <a:ln w="0" cap="sq">
                            <a:miter lim="127000"/>
                          </a:ln>
                        </wps:spPr>
                        <wps:style>
                          <a:lnRef idx="0">
                            <a:srgbClr val="000000">
                              <a:alpha val="0"/>
                            </a:srgbClr>
                          </a:lnRef>
                          <a:fillRef idx="1">
                            <a:srgbClr val="D0D0D0"/>
                          </a:fillRef>
                          <a:effectRef idx="0">
                            <a:scrgbClr r="0" g="0" b="0"/>
                          </a:effectRef>
                          <a:fontRef idx="none"/>
                        </wps:style>
                        <wps:bodyPr/>
                      </wps:wsp>
                      <wps:wsp>
                        <wps:cNvPr id="3237" name="Shape 3237"/>
                        <wps:cNvSpPr/>
                        <wps:spPr>
                          <a:xfrm>
                            <a:off x="3069527" y="0"/>
                            <a:ext cx="3069527" cy="1676400"/>
                          </a:xfrm>
                          <a:custGeom>
                            <a:avLst/>
                            <a:gdLst/>
                            <a:ahLst/>
                            <a:cxnLst/>
                            <a:rect l="0" t="0" r="0" b="0"/>
                            <a:pathLst>
                              <a:path w="3069527" h="1676400">
                                <a:moveTo>
                                  <a:pt x="0" y="0"/>
                                </a:moveTo>
                                <a:lnTo>
                                  <a:pt x="3069527" y="0"/>
                                </a:lnTo>
                                <a:cubicBezTo>
                                  <a:pt x="3069527" y="1676400"/>
                                  <a:pt x="3069527" y="1676400"/>
                                  <a:pt x="3069527" y="1676400"/>
                                </a:cubicBezTo>
                                <a:cubicBezTo>
                                  <a:pt x="1822531" y="1676400"/>
                                  <a:pt x="828832" y="1676400"/>
                                  <a:pt x="36978" y="1676400"/>
                                </a:cubicBezTo>
                                <a:lnTo>
                                  <a:pt x="0" y="1676400"/>
                                </a:lnTo>
                                <a:lnTo>
                                  <a:pt x="0" y="1666875"/>
                                </a:lnTo>
                                <a:lnTo>
                                  <a:pt x="36863" y="1666875"/>
                                </a:lnTo>
                                <a:cubicBezTo>
                                  <a:pt x="826260" y="1666875"/>
                                  <a:pt x="1816876" y="1666875"/>
                                  <a:pt x="3060002" y="1666875"/>
                                </a:cubicBezTo>
                                <a:cubicBezTo>
                                  <a:pt x="3060002" y="1666875"/>
                                  <a:pt x="3060002" y="1666875"/>
                                  <a:pt x="3060002" y="9525"/>
                                </a:cubicBezTo>
                                <a:lnTo>
                                  <a:pt x="0" y="9525"/>
                                </a:lnTo>
                                <a:lnTo>
                                  <a:pt x="0" y="0"/>
                                </a:lnTo>
                                <a:close/>
                              </a:path>
                            </a:pathLst>
                          </a:custGeom>
                          <a:ln w="0" cap="sq">
                            <a:miter lim="127000"/>
                          </a:ln>
                        </wps:spPr>
                        <wps:style>
                          <a:lnRef idx="0">
                            <a:srgbClr val="000000">
                              <a:alpha val="0"/>
                            </a:srgbClr>
                          </a:lnRef>
                          <a:fillRef idx="1">
                            <a:srgbClr val="D0D0D0"/>
                          </a:fillRef>
                          <a:effectRef idx="0">
                            <a:scrgbClr r="0" g="0" b="0"/>
                          </a:effectRef>
                          <a:fontRef idx="none"/>
                        </wps:style>
                        <wps:bodyPr/>
                      </wps:wsp>
                      <wps:wsp>
                        <wps:cNvPr id="3240" name="Shape 3240"/>
                        <wps:cNvSpPr/>
                        <wps:spPr>
                          <a:xfrm>
                            <a:off x="9525" y="9525"/>
                            <a:ext cx="6120003" cy="1657350"/>
                          </a:xfrm>
                          <a:custGeom>
                            <a:avLst/>
                            <a:gdLst/>
                            <a:ahLst/>
                            <a:cxnLst/>
                            <a:rect l="0" t="0" r="0" b="0"/>
                            <a:pathLst>
                              <a:path w="6120003" h="1657350">
                                <a:moveTo>
                                  <a:pt x="0" y="0"/>
                                </a:moveTo>
                                <a:cubicBezTo>
                                  <a:pt x="0" y="0"/>
                                  <a:pt x="0" y="0"/>
                                  <a:pt x="6120003" y="0"/>
                                </a:cubicBezTo>
                                <a:cubicBezTo>
                                  <a:pt x="6120003" y="0"/>
                                  <a:pt x="6120003" y="0"/>
                                  <a:pt x="6120003" y="1657350"/>
                                </a:cubicBezTo>
                                <a:cubicBezTo>
                                  <a:pt x="6120003" y="1657350"/>
                                  <a:pt x="6120003" y="1657350"/>
                                  <a:pt x="0" y="1657350"/>
                                </a:cubicBezTo>
                                <a:cubicBezTo>
                                  <a:pt x="0" y="1657350"/>
                                  <a:pt x="0" y="1657350"/>
                                  <a:pt x="0" y="0"/>
                                </a:cubicBezTo>
                                <a:close/>
                              </a:path>
                            </a:pathLst>
                          </a:custGeom>
                          <a:ln w="0" cap="sq">
                            <a:miter lim="127000"/>
                          </a:ln>
                        </wps:spPr>
                        <wps:style>
                          <a:lnRef idx="0">
                            <a:srgbClr val="000000">
                              <a:alpha val="0"/>
                            </a:srgbClr>
                          </a:lnRef>
                          <a:fillRef idx="1">
                            <a:srgbClr val="F0F0F0"/>
                          </a:fillRef>
                          <a:effectRef idx="0">
                            <a:scrgbClr r="0" g="0" b="0"/>
                          </a:effectRef>
                          <a:fontRef idx="none"/>
                        </wps:style>
                        <wps:bodyPr/>
                      </wps:wsp>
                      <pic:pic xmlns:pic="http://schemas.openxmlformats.org/drawingml/2006/picture">
                        <pic:nvPicPr>
                          <pic:cNvPr id="53674" name="Picture 53674"/>
                          <pic:cNvPicPr/>
                        </pic:nvPicPr>
                        <pic:blipFill>
                          <a:blip r:embed="rId7"/>
                          <a:stretch>
                            <a:fillRect/>
                          </a:stretch>
                        </pic:blipFill>
                        <pic:spPr>
                          <a:xfrm>
                            <a:off x="4990973" y="190630"/>
                            <a:ext cx="79248" cy="118872"/>
                          </a:xfrm>
                          <a:prstGeom prst="rect">
                            <a:avLst/>
                          </a:prstGeom>
                        </pic:spPr>
                      </pic:pic>
                    </wpg:wgp>
                  </a:graphicData>
                </a:graphic>
              </wp:anchor>
            </w:drawing>
          </mc:Choice>
          <mc:Fallback xmlns:a="http://schemas.openxmlformats.org/drawingml/2006/main">
            <w:pict>
              <v:group id="Group 46732" style="width:483.39pt;height:132pt;position:absolute;z-index:-2147483618;mso-position-horizontal-relative:text;mso-position-horizontal:absolute;margin-left:0pt;mso-position-vertical-relative:text;margin-top:-10.9669pt;" coordsize="61390,16764">
                <v:shape id="Shape 3235" style="position:absolute;width:61295;height:16668;left:48;top:48;" coordsize="6129528,1666875" path="m0,0c0,0,0,0,6129528,0c6129528,0,6129528,0,6129528,1666875c6129528,1666875,6129528,1666875,0,1666875c0,1666875,0,1666875,0,0x">
                  <v:stroke weight="0pt" endcap="square" joinstyle="miter" miterlimit="10" on="false" color="#000000" opacity="0"/>
                  <v:fill on="true" color="#f0f0f0"/>
                </v:shape>
                <v:shape id="Shape 3236" style="position:absolute;width:30695;height:16764;left:0;top:0;" coordsize="3069527,1676400" path="m0,0l3069527,0l3069527,9525l9525,9525c9525,9525,9525,9525,9525,1666875c9525,1666875,9525,1666875,2927770,1666875l3069527,1666875l3069527,1676400l2927329,1676400c0,1676400,0,1676400,0,1676400c0,0,0,0,0,0x">
                  <v:stroke weight="0pt" endcap="square" joinstyle="miter" miterlimit="10" on="false" color="#000000" opacity="0"/>
                  <v:fill on="true" color="#d0d0d0"/>
                </v:shape>
                <v:shape id="Shape 3237" style="position:absolute;width:30695;height:16764;left:30695;top:0;" coordsize="3069527,1676400" path="m0,0l3069527,0c3069527,1676400,3069527,1676400,3069527,1676400c1822531,1676400,828832,1676400,36978,1676400l0,1676400l0,1666875l36863,1666875c826260,1666875,1816876,1666875,3060002,1666875c3060002,1666875,3060002,1666875,3060002,9525l0,9525l0,0x">
                  <v:stroke weight="0pt" endcap="square" joinstyle="miter" miterlimit="10" on="false" color="#000000" opacity="0"/>
                  <v:fill on="true" color="#d0d0d0"/>
                </v:shape>
                <v:shape id="Shape 3240" style="position:absolute;width:61200;height:16573;left:95;top:95;" coordsize="6120003,1657350" path="m0,0c0,0,0,0,6120003,0c6120003,0,6120003,0,6120003,1657350c6120003,1657350,6120003,1657350,0,1657350c0,1657350,0,1657350,0,0x">
                  <v:stroke weight="0pt" endcap="square" joinstyle="miter" miterlimit="10" on="false" color="#000000" opacity="0"/>
                  <v:fill on="true" color="#f0f0f0"/>
                </v:shape>
                <v:shape id="Picture 53674" style="position:absolute;width:792;height:1188;left:49909;top:1906;" filled="f">
                  <v:imagedata r:id="rId8"/>
                </v:shape>
              </v:group>
            </w:pict>
          </mc:Fallback>
        </mc:AlternateContent>
      </w:r>
      <w:r>
        <w:rPr>
          <w:sz w:val="28"/>
        </w:rPr>
        <w:t>Comparative Law, Transplants, and Receptions</w:t>
      </w:r>
      <w:r>
        <w:rPr>
          <w:sz w:val="28"/>
        </w:rPr>
        <w:t xml:space="preserve">  </w:t>
      </w:r>
    </w:p>
    <w:p w:rsidR="00441B30" w:rsidRDefault="00C96797">
      <w:pPr>
        <w:spacing w:after="41" w:line="259" w:lineRule="auto"/>
        <w:ind w:left="255" w:firstLine="0"/>
      </w:pPr>
      <w:r>
        <w:rPr>
          <w:sz w:val="22"/>
        </w:rPr>
        <w:t>Michele Graziadei</w:t>
      </w:r>
    </w:p>
    <w:p w:rsidR="00441B30" w:rsidRDefault="00C96797">
      <w:pPr>
        <w:spacing w:after="186" w:line="271" w:lineRule="auto"/>
        <w:ind w:left="255" w:right="2741" w:firstLine="0"/>
      </w:pPr>
      <w:hyperlink r:id="rId9">
        <w:r>
          <w:rPr>
            <w:sz w:val="22"/>
          </w:rPr>
          <w:t xml:space="preserve">The Oxford Handbook of Comparative Law (2nd edn) </w:t>
        </w:r>
      </w:hyperlink>
      <w:r>
        <w:rPr>
          <w:rFonts w:cs="Calibri"/>
          <w:i/>
          <w:sz w:val="18"/>
        </w:rPr>
        <w:t>Edited by Mathias Reimann and Reinhard Zimmermann</w:t>
      </w:r>
    </w:p>
    <w:p w:rsidR="00441B30" w:rsidRDefault="00C96797">
      <w:pPr>
        <w:spacing w:after="36" w:line="265" w:lineRule="auto"/>
        <w:ind w:left="250"/>
      </w:pPr>
      <w:r>
        <w:rPr>
          <w:sz w:val="18"/>
        </w:rPr>
        <w:t>Print Publication Date:</w:t>
      </w:r>
      <w:r>
        <w:rPr>
          <w:rFonts w:cs="Calibri"/>
          <w:sz w:val="18"/>
        </w:rPr>
        <w:t xml:space="preserve"> </w:t>
      </w:r>
      <w:r>
        <w:rPr>
          <w:sz w:val="18"/>
        </w:rPr>
        <w:t>Mar 2019</w:t>
      </w:r>
    </w:p>
    <w:p w:rsidR="00441B30" w:rsidRDefault="00C96797">
      <w:pPr>
        <w:spacing w:after="36" w:line="265" w:lineRule="auto"/>
        <w:ind w:left="250"/>
      </w:pPr>
      <w:r>
        <w:rPr>
          <w:sz w:val="18"/>
        </w:rPr>
        <w:t>Subject</w:t>
      </w:r>
      <w:r>
        <w:rPr>
          <w:sz w:val="18"/>
        </w:rPr>
        <w:t>:</w:t>
      </w:r>
      <w:r>
        <w:rPr>
          <w:rFonts w:cs="Calibri"/>
          <w:sz w:val="18"/>
        </w:rPr>
        <w:t xml:space="preserve"> </w:t>
      </w:r>
      <w:r>
        <w:rPr>
          <w:sz w:val="18"/>
        </w:rPr>
        <w:t>Law, Comparative Law, Jurisprudence and Philosophy of Law</w:t>
      </w:r>
    </w:p>
    <w:p w:rsidR="00441B30" w:rsidRDefault="00C96797">
      <w:pPr>
        <w:tabs>
          <w:tab w:val="center" w:pos="1867"/>
          <w:tab w:val="center" w:pos="5836"/>
        </w:tabs>
        <w:spacing w:after="1038" w:line="265" w:lineRule="auto"/>
        <w:ind w:left="0" w:firstLine="0"/>
      </w:pPr>
      <w:r>
        <w:rPr>
          <w:rFonts w:cs="Calibri"/>
          <w:sz w:val="22"/>
        </w:rPr>
        <w:tab/>
      </w:r>
      <w:r>
        <w:rPr>
          <w:sz w:val="18"/>
        </w:rPr>
        <w:t>Online Publication Date:</w:t>
      </w:r>
      <w:r>
        <w:rPr>
          <w:rFonts w:cs="Calibri"/>
          <w:sz w:val="18"/>
        </w:rPr>
        <w:t xml:space="preserve"> </w:t>
      </w:r>
      <w:r>
        <w:rPr>
          <w:sz w:val="18"/>
        </w:rPr>
        <w:t>May 2019</w:t>
      </w:r>
      <w:r>
        <w:rPr>
          <w:sz w:val="18"/>
        </w:rPr>
        <w:tab/>
        <w:t>DOI:</w:t>
      </w:r>
      <w:r>
        <w:rPr>
          <w:rFonts w:cs="Calibri"/>
          <w:sz w:val="18"/>
        </w:rPr>
        <w:t xml:space="preserve"> </w:t>
      </w:r>
      <w:r>
        <w:rPr>
          <w:sz w:val="18"/>
        </w:rPr>
        <w:t>10.1093/oxfordhb/9780198810230.013.14</w:t>
      </w:r>
    </w:p>
    <w:p w:rsidR="00441B30" w:rsidRDefault="00C96797">
      <w:pPr>
        <w:pStyle w:val="Heading2"/>
        <w:spacing w:after="277"/>
        <w:ind w:left="-5"/>
      </w:pPr>
      <w:r>
        <w:t>Abstract and Keywords</w:t>
      </w:r>
    </w:p>
    <w:p w:rsidR="00441B30" w:rsidRDefault="00C96797">
      <w:pPr>
        <w:spacing w:after="157"/>
        <w:ind w:left="-5"/>
      </w:pPr>
      <w:r>
        <w:t>The comparative study of transplants and receptions investigates the patterns of change triggere</w:t>
      </w:r>
      <w:r>
        <w:t xml:space="preserve">d by contacts among laws and legal cultures. The study of legal transfers offers considerable intellectual rewards. It shows that the law is a complex phenomenon and </w:t>
      </w:r>
      <w:r>
        <w:rPr>
          <w:rFonts w:cs="Calibri"/>
        </w:rPr>
        <w:t>corrects simplistic views regarding what law is and how it develops. Furthermore, it high</w:t>
      </w:r>
      <w:r>
        <w:t>l</w:t>
      </w:r>
      <w:r>
        <w:t xml:space="preserve">ights how the language of the law is transformed as a consequence of such a dynamic through translations and adaptations. The spread of legal institutions, ideals, ideologies, </w:t>
      </w:r>
      <w:r>
        <w:rPr>
          <w:rFonts w:cs="Calibri"/>
        </w:rPr>
        <w:t>doctrines, rules, and so on, is often in the hands of professional elites. The s</w:t>
      </w:r>
      <w:r>
        <w:rPr>
          <w:rFonts w:cs="Calibri"/>
        </w:rPr>
        <w:t>tudy of trans</w:t>
      </w:r>
      <w:r>
        <w:t xml:space="preserve">plants and receptions demonstrates that the knowledge and standing of those elites </w:t>
      </w:r>
      <w:r>
        <w:rPr>
          <w:rFonts w:cs="Calibri"/>
        </w:rPr>
        <w:t>comes from interactions between the local and non-local dimensions of the law. This picture is true in Berlin, in New York, in London, and in Lima, but it is al</w:t>
      </w:r>
      <w:r>
        <w:rPr>
          <w:rFonts w:cs="Calibri"/>
        </w:rPr>
        <w:t>so true in less cos</w:t>
      </w:r>
      <w:r>
        <w:t xml:space="preserve">mopolitan environments. The study of legal transplants has sometimes been accused of </w:t>
      </w:r>
      <w:r>
        <w:rPr>
          <w:rFonts w:cs="Calibri"/>
        </w:rPr>
        <w:t>embracing a conservative orientation. Yet, this study simply subjects the law’s preten</w:t>
      </w:r>
      <w:r>
        <w:t xml:space="preserve">sions concerning its origins and ends to critical analysis. Doing </w:t>
      </w:r>
      <w:r>
        <w:t>so is not inconsistent with advancing progressive goals at all; in fact, it may be vital to a progressive agenda.</w:t>
      </w:r>
    </w:p>
    <w:p w:rsidR="00441B30" w:rsidRDefault="00C96797">
      <w:pPr>
        <w:spacing w:after="0" w:line="295" w:lineRule="auto"/>
        <w:ind w:left="0" w:firstLine="0"/>
      </w:pPr>
      <w:r>
        <w:rPr>
          <w:sz w:val="17"/>
        </w:rPr>
        <w:t>Keywords:</w:t>
      </w:r>
      <w:hyperlink r:id="rId10">
        <w:r>
          <w:rPr>
            <w:rFonts w:cs="Calibri"/>
            <w:sz w:val="17"/>
          </w:rPr>
          <w:t xml:space="preserve"> </w:t>
        </w:r>
      </w:hyperlink>
      <w:hyperlink r:id="rId11">
        <w:r>
          <w:rPr>
            <w:sz w:val="17"/>
          </w:rPr>
          <w:t>global governance, legal transfers</w:t>
        </w:r>
      </w:hyperlink>
      <w:r>
        <w:rPr>
          <w:sz w:val="17"/>
        </w:rPr>
        <w:t>,</w:t>
      </w:r>
      <w:hyperlink r:id="rId12">
        <w:r>
          <w:rPr>
            <w:rFonts w:cs="Calibri"/>
            <w:sz w:val="17"/>
          </w:rPr>
          <w:t xml:space="preserve"> </w:t>
        </w:r>
      </w:hyperlink>
      <w:hyperlink r:id="rId13">
        <w:r>
          <w:rPr>
            <w:sz w:val="17"/>
          </w:rPr>
          <w:t>legal transplants, legal translation</w:t>
        </w:r>
      </w:hyperlink>
      <w:r>
        <w:rPr>
          <w:sz w:val="17"/>
        </w:rPr>
        <w:t>,</w:t>
      </w:r>
      <w:r>
        <w:rPr>
          <w:rFonts w:cs="Calibri"/>
          <w:sz w:val="17"/>
        </w:rPr>
        <w:t xml:space="preserve"> </w:t>
      </w:r>
      <w:hyperlink r:id="rId14">
        <w:r>
          <w:rPr>
            <w:sz w:val="17"/>
          </w:rPr>
          <w:t>legal transfers</w:t>
        </w:r>
      </w:hyperlink>
      <w:r>
        <w:rPr>
          <w:sz w:val="17"/>
        </w:rPr>
        <w:t>,</w:t>
      </w:r>
      <w:hyperlink r:id="rId15">
        <w:r>
          <w:rPr>
            <w:rFonts w:cs="Calibri"/>
            <w:sz w:val="17"/>
          </w:rPr>
          <w:t xml:space="preserve"> </w:t>
        </w:r>
      </w:hyperlink>
      <w:hyperlink r:id="rId16">
        <w:r>
          <w:rPr>
            <w:sz w:val="17"/>
          </w:rPr>
          <w:t>mediated action</w:t>
        </w:r>
      </w:hyperlink>
      <w:r>
        <w:rPr>
          <w:sz w:val="17"/>
        </w:rPr>
        <w:t>,</w:t>
      </w:r>
      <w:r>
        <w:rPr>
          <w:rFonts w:cs="Calibri"/>
          <w:sz w:val="17"/>
        </w:rPr>
        <w:t xml:space="preserve"> </w:t>
      </w:r>
      <w:hyperlink r:id="rId17">
        <w:r>
          <w:rPr>
            <w:sz w:val="17"/>
          </w:rPr>
          <w:t>prestige</w:t>
        </w:r>
      </w:hyperlink>
      <w:r>
        <w:rPr>
          <w:sz w:val="17"/>
        </w:rPr>
        <w:t>,</w:t>
      </w:r>
      <w:r>
        <w:rPr>
          <w:rFonts w:cs="Calibri"/>
          <w:sz w:val="17"/>
        </w:rPr>
        <w:t xml:space="preserve"> </w:t>
      </w:r>
      <w:hyperlink r:id="rId18">
        <w:r>
          <w:rPr>
            <w:sz w:val="17"/>
          </w:rPr>
          <w:t>professional elites</w:t>
        </w:r>
      </w:hyperlink>
    </w:p>
    <w:p w:rsidR="00441B30" w:rsidRDefault="00C96797">
      <w:pPr>
        <w:spacing w:after="238" w:line="259" w:lineRule="auto"/>
        <w:ind w:left="0" w:right="-1" w:firstLine="0"/>
      </w:pPr>
      <w:r>
        <w:rPr>
          <w:rFonts w:cs="Calibri"/>
          <w:noProof/>
          <w:sz w:val="22"/>
        </w:rPr>
        <mc:AlternateContent>
          <mc:Choice Requires="wpg">
            <w:drawing>
              <wp:inline distT="0" distB="0" distL="0" distR="0">
                <wp:extent cx="6120003" cy="9525"/>
                <wp:effectExtent l="0" t="0" r="0" b="0"/>
                <wp:docPr id="46735" name="Group 46735"/>
                <wp:cNvGraphicFramePr/>
                <a:graphic xmlns:a="http://schemas.openxmlformats.org/drawingml/2006/main">
                  <a:graphicData uri="http://schemas.microsoft.com/office/word/2010/wordprocessingGroup">
                    <wpg:wgp>
                      <wpg:cNvGrpSpPr/>
                      <wpg:grpSpPr>
                        <a:xfrm>
                          <a:off x="0" y="0"/>
                          <a:ext cx="6120003" cy="9525"/>
                          <a:chOff x="0" y="0"/>
                          <a:chExt cx="6120003" cy="9525"/>
                        </a:xfrm>
                      </wpg:grpSpPr>
                      <wps:wsp>
                        <wps:cNvPr id="3238" name="Shape 3238"/>
                        <wps:cNvSpPr/>
                        <wps:spPr>
                          <a:xfrm>
                            <a:off x="0" y="0"/>
                            <a:ext cx="6120003" cy="9525"/>
                          </a:xfrm>
                          <a:custGeom>
                            <a:avLst/>
                            <a:gdLst/>
                            <a:ahLst/>
                            <a:cxnLst/>
                            <a:rect l="0" t="0" r="0" b="0"/>
                            <a:pathLst>
                              <a:path w="6120003" h="9525">
                                <a:moveTo>
                                  <a:pt x="0" y="0"/>
                                </a:moveTo>
                                <a:cubicBezTo>
                                  <a:pt x="0" y="0"/>
                                  <a:pt x="0" y="0"/>
                                  <a:pt x="6120003" y="0"/>
                                </a:cubicBezTo>
                                <a:cubicBezTo>
                                  <a:pt x="6120003" y="0"/>
                                  <a:pt x="6120003" y="0"/>
                                  <a:pt x="6120003" y="9525"/>
                                </a:cubicBezTo>
                                <a:cubicBezTo>
                                  <a:pt x="6120003" y="9525"/>
                                  <a:pt x="6120003" y="9525"/>
                                  <a:pt x="0" y="9525"/>
                                </a:cubicBezTo>
                                <a:cubicBezTo>
                                  <a:pt x="0" y="9525"/>
                                  <a:pt x="0" y="9525"/>
                                  <a:pt x="0" y="0"/>
                                </a:cubicBezTo>
                                <a:close/>
                              </a:path>
                            </a:pathLst>
                          </a:custGeom>
                          <a:ln w="0" cap="sq">
                            <a:miter lim="127000"/>
                          </a:ln>
                        </wps:spPr>
                        <wps:style>
                          <a:lnRef idx="0">
                            <a:srgbClr val="000000">
                              <a:alpha val="0"/>
                            </a:srgbClr>
                          </a:lnRef>
                          <a:fillRef idx="1">
                            <a:srgbClr val="D0D0D0"/>
                          </a:fillRef>
                          <a:effectRef idx="0">
                            <a:scrgbClr r="0" g="0" b="0"/>
                          </a:effectRef>
                          <a:fontRef idx="none"/>
                        </wps:style>
                        <wps:bodyPr/>
                      </wps:wsp>
                    </wpg:wgp>
                  </a:graphicData>
                </a:graphic>
              </wp:inline>
            </w:drawing>
          </mc:Choice>
          <mc:Fallback xmlns:a="http://schemas.openxmlformats.org/drawingml/2006/main">
            <w:pict>
              <v:group id="Group 46735" style="width:481.89pt;height:0.75pt;mso-position-horizontal-relative:char;mso-position-vertical-relative:line" coordsize="61200,95">
                <v:shape id="Shape 3238" style="position:absolute;width:61200;height:95;left:0;top:0;" coordsize="6120003,9525" path="m0,0c0,0,0,0,6120003,0c6120003,0,6120003,0,6120003,9525c6120003,9525,6120003,9525,0,9525c0,9525,0,9525,0,0x">
                  <v:stroke weight="0pt" endcap="square" joinstyle="miter" miterlimit="10" on="false" color="#000000" opacity="0"/>
                  <v:fill on="true" color="#d0d0d0"/>
                </v:shape>
              </v:group>
            </w:pict>
          </mc:Fallback>
        </mc:AlternateContent>
      </w:r>
    </w:p>
    <w:p w:rsidR="00441B30" w:rsidRDefault="00C96797">
      <w:pPr>
        <w:numPr>
          <w:ilvl w:val="0"/>
          <w:numId w:val="1"/>
        </w:numPr>
        <w:spacing w:after="26"/>
        <w:ind w:hanging="585"/>
      </w:pPr>
      <w:r>
        <w:t>Introduction</w:t>
      </w:r>
      <w:r>
        <w:rPr>
          <w:rFonts w:cs="Calibri"/>
        </w:rPr>
        <w:t xml:space="preserve"> </w:t>
      </w:r>
      <w:r>
        <w:t>443</w:t>
      </w:r>
    </w:p>
    <w:p w:rsidR="00441B30" w:rsidRDefault="00C96797">
      <w:pPr>
        <w:numPr>
          <w:ilvl w:val="0"/>
          <w:numId w:val="1"/>
        </w:numPr>
        <w:spacing w:after="27"/>
        <w:ind w:hanging="585"/>
      </w:pPr>
      <w:r>
        <w:t>Terminology</w:t>
      </w:r>
      <w:r>
        <w:rPr>
          <w:rFonts w:cs="Calibri"/>
        </w:rPr>
        <w:t xml:space="preserve"> </w:t>
      </w:r>
      <w:r>
        <w:t>444</w:t>
      </w:r>
    </w:p>
    <w:p w:rsidR="00441B30" w:rsidRDefault="00C96797">
      <w:pPr>
        <w:numPr>
          <w:ilvl w:val="0"/>
          <w:numId w:val="1"/>
        </w:numPr>
        <w:spacing w:after="27"/>
        <w:ind w:hanging="585"/>
      </w:pPr>
      <w:r>
        <w:t>Some Classical Cases</w:t>
      </w:r>
      <w:r>
        <w:rPr>
          <w:rFonts w:cs="Calibri"/>
        </w:rPr>
        <w:t xml:space="preserve"> </w:t>
      </w:r>
      <w:r>
        <w:t>445</w:t>
      </w:r>
    </w:p>
    <w:p w:rsidR="00441B30" w:rsidRDefault="00C96797">
      <w:pPr>
        <w:numPr>
          <w:ilvl w:val="1"/>
          <w:numId w:val="1"/>
        </w:numPr>
        <w:spacing w:after="27"/>
        <w:ind w:hanging="274"/>
      </w:pPr>
      <w:r>
        <w:t>The Reception of Roman Law in Europe and in Other Parts of the World</w:t>
      </w:r>
      <w:r>
        <w:rPr>
          <w:rFonts w:cs="Calibri"/>
        </w:rPr>
        <w:t xml:space="preserve"> </w:t>
      </w:r>
      <w:r>
        <w:t>446</w:t>
      </w:r>
    </w:p>
    <w:p w:rsidR="00441B30" w:rsidRDefault="00C96797">
      <w:pPr>
        <w:numPr>
          <w:ilvl w:val="1"/>
          <w:numId w:val="1"/>
        </w:numPr>
        <w:spacing w:after="27"/>
        <w:ind w:hanging="274"/>
      </w:pPr>
      <w:r>
        <w:t>Some Civil Codes and their Diffusion</w:t>
      </w:r>
      <w:r>
        <w:rPr>
          <w:rFonts w:cs="Calibri"/>
        </w:rPr>
        <w:t xml:space="preserve"> </w:t>
      </w:r>
      <w:r>
        <w:t>448</w:t>
      </w:r>
    </w:p>
    <w:p w:rsidR="00441B30" w:rsidRDefault="00C96797">
      <w:pPr>
        <w:numPr>
          <w:ilvl w:val="1"/>
          <w:numId w:val="1"/>
        </w:numPr>
        <w:spacing w:after="27"/>
        <w:ind w:hanging="274"/>
      </w:pPr>
      <w:r>
        <w:t>The Diffusion of the Common Law</w:t>
      </w:r>
      <w:r>
        <w:rPr>
          <w:rFonts w:cs="Calibri"/>
        </w:rPr>
        <w:t xml:space="preserve"> </w:t>
      </w:r>
      <w:r>
        <w:t>451</w:t>
      </w:r>
    </w:p>
    <w:p w:rsidR="00441B30" w:rsidRDefault="00C96797">
      <w:pPr>
        <w:numPr>
          <w:ilvl w:val="1"/>
          <w:numId w:val="1"/>
        </w:numPr>
        <w:ind w:hanging="274"/>
      </w:pPr>
      <w:r>
        <w:t>Constitutional Transplants, Borrowings, and Migrations</w:t>
      </w:r>
      <w:r>
        <w:rPr>
          <w:rFonts w:cs="Calibri"/>
        </w:rPr>
        <w:t xml:space="preserve"> </w:t>
      </w:r>
      <w:r>
        <w:t>452</w:t>
      </w:r>
    </w:p>
    <w:p w:rsidR="00441B30" w:rsidRDefault="00C96797">
      <w:pPr>
        <w:numPr>
          <w:ilvl w:val="0"/>
          <w:numId w:val="1"/>
        </w:numPr>
        <w:spacing w:after="28"/>
        <w:ind w:hanging="585"/>
      </w:pPr>
      <w:r>
        <w:t>Global Governance as a Source of Legal Transpla</w:t>
      </w:r>
      <w:r>
        <w:t>nts</w:t>
      </w:r>
      <w:r>
        <w:rPr>
          <w:rFonts w:cs="Calibri"/>
        </w:rPr>
        <w:t xml:space="preserve"> </w:t>
      </w:r>
      <w:r>
        <w:t>454</w:t>
      </w:r>
    </w:p>
    <w:p w:rsidR="00441B30" w:rsidRDefault="00C96797">
      <w:pPr>
        <w:numPr>
          <w:ilvl w:val="0"/>
          <w:numId w:val="1"/>
        </w:numPr>
        <w:spacing w:after="27"/>
        <w:ind w:hanging="585"/>
      </w:pPr>
      <w:r>
        <w:t>Legal Transplants, Language Contact, and Legal Translation</w:t>
      </w:r>
      <w:r>
        <w:rPr>
          <w:rFonts w:cs="Calibri"/>
        </w:rPr>
        <w:t xml:space="preserve"> </w:t>
      </w:r>
      <w:r>
        <w:t>456</w:t>
      </w:r>
    </w:p>
    <w:p w:rsidR="00441B30" w:rsidRDefault="00C96797">
      <w:pPr>
        <w:numPr>
          <w:ilvl w:val="0"/>
          <w:numId w:val="1"/>
        </w:numPr>
        <w:spacing w:after="26"/>
        <w:ind w:hanging="585"/>
      </w:pPr>
      <w:r>
        <w:t>Factors of Change</w:t>
      </w:r>
      <w:r>
        <w:rPr>
          <w:rFonts w:cs="Calibri"/>
        </w:rPr>
        <w:t xml:space="preserve"> </w:t>
      </w:r>
      <w:r>
        <w:t>457</w:t>
      </w:r>
    </w:p>
    <w:p w:rsidR="00441B30" w:rsidRDefault="00C96797">
      <w:pPr>
        <w:numPr>
          <w:ilvl w:val="1"/>
          <w:numId w:val="1"/>
        </w:numPr>
        <w:ind w:hanging="274"/>
      </w:pPr>
      <w:r>
        <w:t>Imposition</w:t>
      </w:r>
      <w:r>
        <w:rPr>
          <w:rFonts w:cs="Calibri"/>
        </w:rPr>
        <w:t xml:space="preserve"> </w:t>
      </w:r>
      <w:r>
        <w:t>458</w:t>
      </w:r>
    </w:p>
    <w:p w:rsidR="00441B30" w:rsidRDefault="00C96797">
      <w:pPr>
        <w:numPr>
          <w:ilvl w:val="1"/>
          <w:numId w:val="1"/>
        </w:numPr>
        <w:spacing w:after="27"/>
        <w:ind w:hanging="274"/>
      </w:pPr>
      <w:r>
        <w:t>Prestige</w:t>
      </w:r>
      <w:r>
        <w:rPr>
          <w:rFonts w:cs="Calibri"/>
        </w:rPr>
        <w:t xml:space="preserve"> </w:t>
      </w:r>
      <w:r>
        <w:t>460</w:t>
      </w:r>
    </w:p>
    <w:p w:rsidR="00441B30" w:rsidRDefault="00C96797">
      <w:pPr>
        <w:numPr>
          <w:ilvl w:val="1"/>
          <w:numId w:val="1"/>
        </w:numPr>
        <w:ind w:hanging="274"/>
      </w:pPr>
      <w:r>
        <w:t>Economic Performance and the Transplant of Legal Institutions</w:t>
      </w:r>
      <w:r>
        <w:rPr>
          <w:rFonts w:cs="Calibri"/>
        </w:rPr>
        <w:t xml:space="preserve"> </w:t>
      </w:r>
      <w:r>
        <w:t>461</w:t>
      </w:r>
    </w:p>
    <w:p w:rsidR="00441B30" w:rsidRDefault="00C96797">
      <w:pPr>
        <w:numPr>
          <w:ilvl w:val="0"/>
          <w:numId w:val="1"/>
        </w:numPr>
        <w:spacing w:after="27"/>
        <w:ind w:hanging="585"/>
      </w:pPr>
      <w:r>
        <w:lastRenderedPageBreak/>
        <w:t>What Change?</w:t>
      </w:r>
      <w:r>
        <w:rPr>
          <w:rFonts w:cs="Calibri"/>
        </w:rPr>
        <w:t xml:space="preserve"> </w:t>
      </w:r>
      <w:r>
        <w:t>463</w:t>
      </w:r>
    </w:p>
    <w:p w:rsidR="00441B30" w:rsidRDefault="00C96797">
      <w:pPr>
        <w:numPr>
          <w:ilvl w:val="0"/>
          <w:numId w:val="1"/>
        </w:numPr>
        <w:spacing w:after="27"/>
        <w:ind w:hanging="585"/>
      </w:pPr>
      <w:r>
        <w:t>Legal Transplants and Receptions as Unsettling Topic</w:t>
      </w:r>
      <w:r>
        <w:t>s</w:t>
      </w:r>
      <w:r>
        <w:rPr>
          <w:rFonts w:cs="Calibri"/>
        </w:rPr>
        <w:t xml:space="preserve"> </w:t>
      </w:r>
      <w:r>
        <w:t>464</w:t>
      </w:r>
    </w:p>
    <w:p w:rsidR="00441B30" w:rsidRDefault="00C96797">
      <w:pPr>
        <w:numPr>
          <w:ilvl w:val="1"/>
          <w:numId w:val="1"/>
        </w:numPr>
        <w:spacing w:after="27"/>
        <w:ind w:hanging="274"/>
      </w:pPr>
      <w:r>
        <w:t>Law and Authority</w:t>
      </w:r>
      <w:r>
        <w:rPr>
          <w:rFonts w:cs="Calibri"/>
        </w:rPr>
        <w:t xml:space="preserve"> </w:t>
      </w:r>
      <w:r>
        <w:t>465</w:t>
      </w:r>
    </w:p>
    <w:p w:rsidR="00441B30" w:rsidRDefault="00C96797">
      <w:pPr>
        <w:numPr>
          <w:ilvl w:val="1"/>
          <w:numId w:val="1"/>
        </w:numPr>
        <w:ind w:hanging="274"/>
      </w:pPr>
      <w:r>
        <w:t>Law and Society</w:t>
      </w:r>
      <w:r>
        <w:rPr>
          <w:rFonts w:cs="Calibri"/>
        </w:rPr>
        <w:t xml:space="preserve"> </w:t>
      </w:r>
      <w:r>
        <w:t>466</w:t>
      </w:r>
    </w:p>
    <w:p w:rsidR="00441B30" w:rsidRDefault="00C96797">
      <w:pPr>
        <w:numPr>
          <w:ilvl w:val="0"/>
          <w:numId w:val="1"/>
        </w:numPr>
        <w:spacing w:after="26"/>
        <w:ind w:hanging="585"/>
      </w:pPr>
      <w:r>
        <w:t>Lessons</w:t>
      </w:r>
      <w:r>
        <w:rPr>
          <w:rFonts w:cs="Calibri"/>
        </w:rPr>
        <w:t xml:space="preserve"> </w:t>
      </w:r>
      <w:r>
        <w:t>470</w:t>
      </w:r>
    </w:p>
    <w:p w:rsidR="00441B30" w:rsidRDefault="00C96797">
      <w:pPr>
        <w:numPr>
          <w:ilvl w:val="0"/>
          <w:numId w:val="1"/>
        </w:numPr>
        <w:spacing w:after="833"/>
        <w:ind w:hanging="585"/>
      </w:pPr>
      <w:r>
        <w:t>Conclusion</w:t>
      </w:r>
      <w:r>
        <w:rPr>
          <w:rFonts w:cs="Calibri"/>
        </w:rPr>
        <w:t xml:space="preserve"> </w:t>
      </w:r>
      <w:r>
        <w:t>472</w:t>
      </w:r>
    </w:p>
    <w:p w:rsidR="00441B30" w:rsidRDefault="00C96797">
      <w:pPr>
        <w:pStyle w:val="Heading1"/>
        <w:spacing w:after="77"/>
      </w:pPr>
      <w:r>
        <w:rPr>
          <w:noProof/>
          <w:sz w:val="22"/>
        </w:rPr>
        <mc:AlternateContent>
          <mc:Choice Requires="wpg">
            <w:drawing>
              <wp:anchor distT="0" distB="0" distL="114300" distR="114300" simplePos="0" relativeHeight="251659264" behindDoc="0" locked="0" layoutInCell="1" allowOverlap="1">
                <wp:simplePos x="0" y="0"/>
                <wp:positionH relativeFrom="column">
                  <wp:posOffset>28575</wp:posOffset>
                </wp:positionH>
                <wp:positionV relativeFrom="paragraph">
                  <wp:posOffset>76883</wp:posOffset>
                </wp:positionV>
                <wp:extent cx="436626" cy="142875"/>
                <wp:effectExtent l="0" t="0" r="0" b="0"/>
                <wp:wrapNone/>
                <wp:docPr id="46294" name="Group 46294"/>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3462" name="Shape 3462"/>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294" style="width:34.38pt;height:11.25pt;position:absolute;z-index:69;mso-position-horizontal-relative:text;mso-position-horizontal:absolute;margin-left:2.25pt;mso-position-vertical-relative:text;margin-top:6.05374pt;" coordsize="4366,1428">
                <v:shape id="Shape 3462"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color w:val="666666"/>
          <w:sz w:val="14"/>
        </w:rPr>
        <w:t>(</w:t>
      </w:r>
      <w:r>
        <w:rPr>
          <w:color w:val="666666"/>
          <w:sz w:val="21"/>
          <w:vertAlign w:val="subscript"/>
        </w:rPr>
        <w:t xml:space="preserve">p. 443) </w:t>
      </w:r>
      <w:r>
        <w:t>I.</w:t>
      </w:r>
      <w:r>
        <w:t xml:space="preserve"> </w:t>
      </w:r>
      <w:r>
        <w:t>Introduction</w:t>
      </w:r>
    </w:p>
    <w:p w:rsidR="00441B30" w:rsidRDefault="00C96797">
      <w:pPr>
        <w:spacing w:after="243"/>
        <w:ind w:left="-5"/>
      </w:pPr>
      <w:r>
        <w:rPr>
          <w:vertAlign w:val="superscript"/>
        </w:rPr>
        <w:t>*</w:t>
      </w:r>
      <w:r>
        <w:t>WHILE</w:t>
      </w:r>
      <w:r>
        <w:rPr>
          <w:rFonts w:cs="Calibri"/>
        </w:rPr>
        <w:t xml:space="preserve"> </w:t>
      </w:r>
      <w:r>
        <w:rPr>
          <w:rFonts w:cs="Calibri"/>
        </w:rPr>
        <w:t xml:space="preserve">transplants and receptions have played an important part in shaping the world’s </w:t>
      </w:r>
      <w:r>
        <w:t>laws since antiquity, even in the cosmopolitan world of comparatists, the subject of this chapter is a relatively new field of inquiry. The treatment of transplants and recepti</w:t>
      </w:r>
      <w:r>
        <w:t xml:space="preserve">ons as general phenomena became a major topic in comparative law only in the last three </w:t>
      </w:r>
      <w:r>
        <w:rPr>
          <w:rFonts w:cs="Calibri"/>
        </w:rPr>
        <w:t>decades of the twentieth century, after the publication of some early studies that ap</w:t>
      </w:r>
      <w:r>
        <w:t>peared before the 1970s.</w:t>
      </w:r>
      <w:r>
        <w:rPr>
          <w:vertAlign w:val="superscript"/>
        </w:rPr>
        <w:t>1</w:t>
      </w:r>
    </w:p>
    <w:p w:rsidR="00441B30" w:rsidRDefault="00C96797">
      <w:pPr>
        <w:spacing w:after="193" w:line="327" w:lineRule="auto"/>
        <w:ind w:left="-5"/>
      </w:pPr>
      <w:r>
        <w:rPr>
          <w:rFonts w:cs="Calibri"/>
        </w:rPr>
        <w:t>After a pioneering conference on the ‘Reception of Foreign Law in Turkey’, held by the In</w:t>
      </w:r>
      <w:r>
        <w:t xml:space="preserve">ternational Association of Legal Science in Istanbul in 1955, the International Academy of </w:t>
      </w:r>
      <w:r>
        <w:rPr>
          <w:rFonts w:cs="Calibri"/>
        </w:rPr>
        <w:t>Comparative Law dedicated a section of its 1970 Congress to ‘The global rece</w:t>
      </w:r>
      <w:r>
        <w:rPr>
          <w:rFonts w:cs="Calibri"/>
        </w:rPr>
        <w:t>ption of foreign law’.</w:t>
      </w:r>
      <w:r>
        <w:rPr>
          <w:vertAlign w:val="superscript"/>
        </w:rPr>
        <w:t>2</w:t>
      </w:r>
      <w:r>
        <w:rPr>
          <w:rFonts w:cs="Calibri"/>
        </w:rPr>
        <w:t xml:space="preserve"> Four years later, Alan Watson’s </w:t>
      </w:r>
      <w:r>
        <w:rPr>
          <w:rFonts w:cs="Calibri"/>
          <w:i/>
        </w:rPr>
        <w:t>Legal Transplants</w:t>
      </w:r>
      <w:r>
        <w:rPr>
          <w:rFonts w:cs="Calibri"/>
        </w:rPr>
        <w:t xml:space="preserve"> </w:t>
      </w:r>
      <w:r>
        <w:t>singled out that theme as a major subject for comparative legal studies.</w:t>
      </w:r>
      <w:r>
        <w:rPr>
          <w:vertAlign w:val="superscript"/>
        </w:rPr>
        <w:t>3</w:t>
      </w:r>
      <w:r>
        <w:rPr>
          <w:rFonts w:cs="Calibri"/>
        </w:rPr>
        <w:t xml:space="preserve"> In the same year, general methodological is</w:t>
      </w:r>
      <w:r>
        <w:t>sues of comparative law were linked to the study of legal transpl</w:t>
      </w:r>
      <w:r>
        <w:t>ants and receptions by Rodolfo Sacco.</w:t>
      </w:r>
      <w:r>
        <w:rPr>
          <w:vertAlign w:val="superscript"/>
        </w:rPr>
        <w:t>4</w:t>
      </w:r>
      <w:r>
        <w:rPr>
          <w:rFonts w:cs="Calibri"/>
        </w:rPr>
        <w:t xml:space="preserve"> Subsequently, legal transplants rapidly became a central ‘paradigm’ in comparative law. None the less, the very possibility of legal transplants was also contest</w:t>
      </w:r>
      <w:r>
        <w:t>ed and various essays by Pierre Legrand animated a livel</w:t>
      </w:r>
      <w:r>
        <w:t>y controversy about transplants, attracting even more attention to the topic (see Section</w:t>
      </w:r>
      <w:r>
        <w:rPr>
          <w:rFonts w:cs="Calibri"/>
        </w:rPr>
        <w:t xml:space="preserve"> </w:t>
      </w:r>
      <w:r>
        <w:t>VIII.2).</w:t>
      </w:r>
    </w:p>
    <w:p w:rsidR="00441B30" w:rsidRDefault="00C96797">
      <w:pPr>
        <w:spacing w:after="580" w:line="327" w:lineRule="auto"/>
        <w:ind w:left="-5"/>
      </w:pPr>
      <w:r>
        <w:rPr>
          <w:rFonts w:cs="Calibri"/>
          <w:noProof/>
          <w:sz w:val="22"/>
        </w:rPr>
        <mc:AlternateContent>
          <mc:Choice Requires="wpg">
            <w:drawing>
              <wp:anchor distT="0" distB="0" distL="114300" distR="114300" simplePos="0" relativeHeight="251660288" behindDoc="0" locked="0" layoutInCell="1" allowOverlap="1">
                <wp:simplePos x="0" y="0"/>
                <wp:positionH relativeFrom="column">
                  <wp:posOffset>255778</wp:posOffset>
                </wp:positionH>
                <wp:positionV relativeFrom="paragraph">
                  <wp:posOffset>2404953</wp:posOffset>
                </wp:positionV>
                <wp:extent cx="436626" cy="142875"/>
                <wp:effectExtent l="0" t="0" r="0" b="0"/>
                <wp:wrapNone/>
                <wp:docPr id="46295" name="Group 46295"/>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3530" name="Shape 3530"/>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295" style="width:34.38pt;height:11.25pt;position:absolute;z-index:137;mso-position-horizontal-relative:text;mso-position-horizontal:absolute;margin-left:20.14pt;mso-position-vertical-relative:text;margin-top:189.366pt;" coordsize="4366,1428">
                <v:shape id="Shape 3530"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t xml:space="preserve">Most of these contributions advanced theoretical reflections unconnected to actual </w:t>
      </w:r>
      <w:r>
        <w:rPr>
          <w:rFonts w:cs="Calibri"/>
        </w:rPr>
        <w:t xml:space="preserve">projects of legal change, such as those promoted by the earlier American </w:t>
      </w:r>
      <w:r>
        <w:rPr>
          <w:rFonts w:cs="Calibri"/>
        </w:rPr>
        <w:t>law and devel</w:t>
      </w:r>
      <w:r>
        <w:t>opment movement. Still, in a shrinking world, these reflections were long overdue. Today, twelve years after the original edition of this</w:t>
      </w:r>
      <w:r>
        <w:rPr>
          <w:rFonts w:cs="Calibri"/>
        </w:rPr>
        <w:t xml:space="preserve"> </w:t>
      </w:r>
      <w:r>
        <w:rPr>
          <w:rFonts w:cs="Calibri"/>
          <w:i/>
        </w:rPr>
        <w:t>Handbook</w:t>
      </w:r>
      <w:r>
        <w:t>, the importance of the topic is still growing, and it has found its place in new textbooks.</w:t>
      </w:r>
      <w:r>
        <w:rPr>
          <w:vertAlign w:val="superscript"/>
        </w:rPr>
        <w:t>5</w:t>
      </w:r>
      <w:r>
        <w:rPr>
          <w:rFonts w:cs="Calibri"/>
        </w:rPr>
        <w:t xml:space="preserve"> </w:t>
      </w:r>
      <w:r>
        <w:t>Rec</w:t>
      </w:r>
      <w:r>
        <w:t xml:space="preserve">ently, a commentator noted </w:t>
      </w:r>
      <w:r>
        <w:rPr>
          <w:rFonts w:cs="Calibri"/>
        </w:rPr>
        <w:t>that: ‘Few concepts in legal scholarship have enjoyed such a remarkable “career” as the concept of “legal transplants”.’</w:t>
      </w:r>
      <w:r>
        <w:rPr>
          <w:vertAlign w:val="superscript"/>
        </w:rPr>
        <w:t>6</w:t>
      </w:r>
      <w:r>
        <w:rPr>
          <w:rFonts w:cs="Calibri"/>
        </w:rPr>
        <w:t xml:space="preserve"> Law reform programmes adopted or supported by supranational and international institutions that promote leg</w:t>
      </w:r>
      <w:r>
        <w:rPr>
          <w:rFonts w:cs="Calibri"/>
        </w:rPr>
        <w:t>al change on a global scale provide contemporary examples of massive legal transplants. The law and economics literature that investigates the relevance of efficient institutions to economic performance cov</w:t>
      </w:r>
      <w:r>
        <w:t>ers the subject (see Section</w:t>
      </w:r>
      <w:r>
        <w:rPr>
          <w:rFonts w:cs="Calibri"/>
        </w:rPr>
        <w:t xml:space="preserve"> </w:t>
      </w:r>
      <w:r>
        <w:t>VI.3</w:t>
      </w:r>
      <w:r>
        <w:rPr>
          <w:rFonts w:cs="Calibri"/>
        </w:rPr>
        <w:t>). Legal historia</w:t>
      </w:r>
      <w:r>
        <w:rPr>
          <w:rFonts w:cs="Calibri"/>
        </w:rPr>
        <w:t>ns who work on global legal history investigate transformations that are linked to these processes; political scientist who study pol</w:t>
      </w:r>
      <w:r>
        <w:t>icy</w:t>
      </w:r>
      <w:r>
        <w:rPr>
          <w:rFonts w:cs="Calibri"/>
        </w:rPr>
        <w:t xml:space="preserve"> </w:t>
      </w:r>
      <w:r>
        <w:rPr>
          <w:rFonts w:cs="Calibri"/>
          <w:color w:val="666666"/>
          <w:sz w:val="14"/>
        </w:rPr>
        <w:t xml:space="preserve">(p. 444) </w:t>
      </w:r>
      <w:r>
        <w:t>diffusion often deal with legal transplants (although they do not label them as such).</w:t>
      </w:r>
      <w:r>
        <w:rPr>
          <w:rFonts w:cs="Calibri"/>
        </w:rPr>
        <w:t xml:space="preserve"> </w:t>
      </w:r>
      <w:r>
        <w:rPr>
          <w:vertAlign w:val="superscript"/>
        </w:rPr>
        <w:t>7</w:t>
      </w:r>
      <w:r>
        <w:rPr>
          <w:rFonts w:cs="Calibri"/>
        </w:rPr>
        <w:t xml:space="preserve"> </w:t>
      </w:r>
      <w:r>
        <w:t>In an interdependent world, the law is never the result of purely local factors or formants.</w:t>
      </w:r>
    </w:p>
    <w:p w:rsidR="00441B30" w:rsidRDefault="00C96797">
      <w:pPr>
        <w:pStyle w:val="Heading1"/>
        <w:ind w:left="-5"/>
      </w:pPr>
      <w:r>
        <w:lastRenderedPageBreak/>
        <w:t>II.</w:t>
      </w:r>
      <w:r>
        <w:t xml:space="preserve"> </w:t>
      </w:r>
      <w:r>
        <w:t>Terminology</w:t>
      </w:r>
    </w:p>
    <w:p w:rsidR="00441B30" w:rsidRDefault="00C96797">
      <w:pPr>
        <w:spacing w:after="0"/>
        <w:ind w:left="-5"/>
      </w:pPr>
      <w:r>
        <w:t xml:space="preserve">Possibly due to its rapid growth, the terminology of the field is still surrounded by some </w:t>
      </w:r>
      <w:r>
        <w:rPr>
          <w:rFonts w:cs="Calibri"/>
        </w:rPr>
        <w:t>uncertainty. The term ‘transplant’ is based on a metapho</w:t>
      </w:r>
      <w:r>
        <w:rPr>
          <w:rFonts w:cs="Calibri"/>
        </w:rPr>
        <w:t xml:space="preserve">r that was chosen </w:t>
      </w:r>
      <w:r>
        <w:rPr>
          <w:rFonts w:cs="Calibri"/>
          <w:i/>
        </w:rPr>
        <w:t>faute de mieux</w:t>
      </w:r>
      <w:r>
        <w:t>, ill-adapted to capturing the gradual diffusion of the law or the continuous nature of the process that sometimes leads to legal change through the appropriation of foreign ideas. An alternative term that has gained accepta</w:t>
      </w:r>
      <w:r>
        <w:t xml:space="preserve">nce (especially outside the common law </w:t>
      </w:r>
      <w:r>
        <w:rPr>
          <w:rFonts w:cs="Calibri"/>
        </w:rPr>
        <w:t xml:space="preserve">world) is ‘circulation of legal models’. Thus, the Thirteenth Congress of the International </w:t>
      </w:r>
      <w:r>
        <w:t xml:space="preserve">Academy of Comparative Law discussed the topic under that title, while more recently, </w:t>
      </w:r>
      <w:r>
        <w:rPr>
          <w:rFonts w:cs="Calibri"/>
        </w:rPr>
        <w:t>the Academy debated the same theme unde</w:t>
      </w:r>
      <w:r>
        <w:rPr>
          <w:rFonts w:cs="Calibri"/>
        </w:rPr>
        <w:t xml:space="preserve">r the label of ‘Legal Culture and Legal </w:t>
      </w:r>
    </w:p>
    <w:p w:rsidR="00441B30" w:rsidRDefault="00C96797">
      <w:pPr>
        <w:spacing w:after="159" w:line="327" w:lineRule="auto"/>
        <w:ind w:left="-5"/>
      </w:pPr>
      <w:r>
        <w:rPr>
          <w:rFonts w:cs="Calibri"/>
        </w:rPr>
        <w:t xml:space="preserve">Transplants’ (‘La culture juridique et l’acculturation du droit’) at the XVIIIth Congress of </w:t>
      </w:r>
      <w:r>
        <w:t>Comparative Law in 2010, held in Washington, D. C.</w:t>
      </w:r>
      <w:r>
        <w:rPr>
          <w:vertAlign w:val="superscript"/>
        </w:rPr>
        <w:t>8</w:t>
      </w:r>
      <w:r>
        <w:rPr>
          <w:rFonts w:cs="Calibri"/>
        </w:rPr>
        <w:t xml:space="preserve"> </w:t>
      </w:r>
      <w:r>
        <w:t>The</w:t>
      </w:r>
      <w:r>
        <w:rPr>
          <w:rFonts w:cs="Calibri"/>
        </w:rPr>
        <w:t xml:space="preserve"> </w:t>
      </w:r>
      <w:r>
        <w:rPr>
          <w:rFonts w:cs="Calibri"/>
          <w:i/>
        </w:rPr>
        <w:t>Association Henri Capitant</w:t>
      </w:r>
      <w:r>
        <w:rPr>
          <w:rFonts w:cs="Calibri"/>
        </w:rPr>
        <w:t xml:space="preserve"> </w:t>
      </w:r>
      <w:r>
        <w:t>dedicated one of its annual meetings to</w:t>
      </w:r>
      <w:r>
        <w:t xml:space="preserve"> the circulation of the French legal model abroad and published its proceedings on the topic in 1993.</w:t>
      </w:r>
      <w:r>
        <w:rPr>
          <w:vertAlign w:val="superscript"/>
        </w:rPr>
        <w:t>9</w:t>
      </w:r>
      <w:r>
        <w:rPr>
          <w:rFonts w:cs="Calibri"/>
        </w:rPr>
        <w:t xml:space="preserve"> </w:t>
      </w:r>
      <w:r>
        <w:t xml:space="preserve">More recent contributions speak of </w:t>
      </w:r>
      <w:r>
        <w:rPr>
          <w:rFonts w:cs="Calibri"/>
        </w:rPr>
        <w:t>the ‘transfer’, instead of the ‘transplant’, of law. The term ‘reception’ is sometimes used as a synonym for any and a</w:t>
      </w:r>
      <w:r>
        <w:rPr>
          <w:rFonts w:cs="Calibri"/>
        </w:rPr>
        <w:t xml:space="preserve">ll of the above, though it also has a specific denotation referring to global legal transfers. In this sense, the most important case of ‘reception’ in the </w:t>
      </w:r>
      <w:r>
        <w:t xml:space="preserve">history of Europe is the diffusion of Roman law that occurred when the subject was </w:t>
      </w:r>
      <w:r>
        <w:rPr>
          <w:rFonts w:cs="Calibri"/>
        </w:rPr>
        <w:t>taught in the uni</w:t>
      </w:r>
      <w:r>
        <w:rPr>
          <w:rFonts w:cs="Calibri"/>
        </w:rPr>
        <w:t xml:space="preserve">versities during the medieval and early modern ages. Yet, ‘reception’ as </w:t>
      </w:r>
      <w:r>
        <w:t xml:space="preserve">a synonym for global legal transfer is not limited to this case. Indeed, the first legislative </w:t>
      </w:r>
      <w:r>
        <w:rPr>
          <w:rFonts w:cs="Calibri"/>
        </w:rPr>
        <w:t>acts of the newly independent American States, enabling their courts to receive and deve</w:t>
      </w:r>
      <w:r>
        <w:rPr>
          <w:rFonts w:cs="Calibri"/>
        </w:rPr>
        <w:t xml:space="preserve">lop the English common law, are known as ‘reception statutes’. The list of terms used </w:t>
      </w:r>
      <w:r>
        <w:t>to identify legal change by legal transfer or diffusion goes on.</w:t>
      </w:r>
      <w:r>
        <w:rPr>
          <w:vertAlign w:val="superscript"/>
        </w:rPr>
        <w:t>10</w:t>
      </w:r>
      <w:r>
        <w:rPr>
          <w:rFonts w:cs="Calibri"/>
        </w:rPr>
        <w:t xml:space="preserve"> </w:t>
      </w:r>
      <w:r>
        <w:t xml:space="preserve">Generic expressions such </w:t>
      </w:r>
      <w:r>
        <w:rPr>
          <w:rFonts w:cs="Calibri"/>
        </w:rPr>
        <w:t xml:space="preserve">as ‘influence’ or ‘inspiration’ are also in use, while other expressions, for </w:t>
      </w:r>
      <w:r>
        <w:rPr>
          <w:rFonts w:cs="Calibri"/>
        </w:rPr>
        <w:t xml:space="preserve">example, ‘cross- fertilization’ or ‘migration’ of legal ideas, institutions, and norms, have gained currency. </w:t>
      </w:r>
      <w:r>
        <w:t xml:space="preserve">All these variations subtly qualify the study of the main theme. For example, the notion of </w:t>
      </w:r>
      <w:r>
        <w:rPr>
          <w:rFonts w:cs="Calibri"/>
        </w:rPr>
        <w:t>‘transposition’ indicates the fine tuning and adaptati</w:t>
      </w:r>
      <w:r>
        <w:rPr>
          <w:rFonts w:cs="Calibri"/>
        </w:rPr>
        <w:t>on that must take place for a trans</w:t>
      </w:r>
      <w:r>
        <w:t>plant to be successful,</w:t>
      </w:r>
      <w:r>
        <w:rPr>
          <w:vertAlign w:val="superscript"/>
        </w:rPr>
        <w:t>11</w:t>
      </w:r>
      <w:r>
        <w:rPr>
          <w:rFonts w:cs="Calibri"/>
        </w:rPr>
        <w:t xml:space="preserve"> </w:t>
      </w:r>
      <w:r>
        <w:t>but a different terminology may still denote phenomena similar to those covered by another vocabulary.</w:t>
      </w:r>
    </w:p>
    <w:p w:rsidR="00441B30" w:rsidRDefault="00C96797">
      <w:pPr>
        <w:ind w:left="-15" w:firstLine="135"/>
      </w:pPr>
      <w:r>
        <w:rPr>
          <w:rFonts w:cs="Calibri"/>
          <w:noProof/>
          <w:sz w:val="22"/>
        </w:rPr>
        <mc:AlternateContent>
          <mc:Choice Requires="wpg">
            <w:drawing>
              <wp:anchor distT="0" distB="0" distL="114300" distR="114300" simplePos="0" relativeHeight="251661312" behindDoc="0" locked="0" layoutInCell="1" allowOverlap="1">
                <wp:simplePos x="0" y="0"/>
                <wp:positionH relativeFrom="column">
                  <wp:posOffset>28575</wp:posOffset>
                </wp:positionH>
                <wp:positionV relativeFrom="paragraph">
                  <wp:posOffset>3063</wp:posOffset>
                </wp:positionV>
                <wp:extent cx="436626" cy="142875"/>
                <wp:effectExtent l="0" t="0" r="0" b="0"/>
                <wp:wrapNone/>
                <wp:docPr id="46228" name="Group 46228"/>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3652" name="Shape 3652"/>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228" style="width:34.38pt;height:11.25pt;position:absolute;z-index:86;mso-position-horizontal-relative:text;mso-position-horizontal:absolute;margin-left:2.25pt;mso-position-vertical-relative:text;margin-top:0.24115pt;" coordsize="4366,1428">
                <v:shape id="Shape 3652"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rPr>
          <w:rFonts w:cs="Calibri"/>
          <w:color w:val="666666"/>
          <w:sz w:val="14"/>
        </w:rPr>
        <w:t xml:space="preserve">(p. 445) </w:t>
      </w:r>
      <w:r>
        <w:t xml:space="preserve">This contribution will take the terminological couple transplant/reception to be </w:t>
      </w:r>
      <w:r>
        <w:rPr>
          <w:rFonts w:cs="Calibri"/>
        </w:rPr>
        <w:t>a</w:t>
      </w:r>
      <w:r>
        <w:rPr>
          <w:rFonts w:cs="Calibri"/>
        </w:rPr>
        <w:t>ll-embracing for present purposes and will speak of ‘transfer’ where a generic term is suitable. It will not adopt further distinctions because it does not aim to develop a typolo</w:t>
      </w:r>
      <w:r>
        <w:t xml:space="preserve">gy of the available materials, but rather to address some fundamental issues </w:t>
      </w:r>
      <w:r>
        <w:t xml:space="preserve">of this field </w:t>
      </w:r>
      <w:r>
        <w:rPr>
          <w:rFonts w:cs="Calibri"/>
        </w:rPr>
        <w:t>of study. Such an approach does not pre-empt the question of the boundaries of the rele</w:t>
      </w:r>
      <w:r>
        <w:t>vant phenomena, nor does it deny the variety of approaches and problems inherent in the study of legal transplants and receptions. In fact, the current deb</w:t>
      </w:r>
      <w:r>
        <w:t xml:space="preserve">ates about terminology </w:t>
      </w:r>
      <w:r>
        <w:rPr>
          <w:rFonts w:cs="Calibri"/>
        </w:rPr>
        <w:t xml:space="preserve">reflect the open character of the discussion about the law’s mobility. The following pages </w:t>
      </w:r>
      <w:r>
        <w:t>will map them and assess them critically.</w:t>
      </w:r>
    </w:p>
    <w:p w:rsidR="00441B30" w:rsidRDefault="00C96797">
      <w:pPr>
        <w:pStyle w:val="Heading1"/>
        <w:ind w:left="-5"/>
      </w:pPr>
      <w:r>
        <w:t>III.</w:t>
      </w:r>
      <w:r>
        <w:t xml:space="preserve"> </w:t>
      </w:r>
      <w:r>
        <w:t>Some Classical Cases</w:t>
      </w:r>
    </w:p>
    <w:p w:rsidR="00441B30" w:rsidRDefault="00C96797">
      <w:pPr>
        <w:ind w:left="-5"/>
      </w:pPr>
      <w:r>
        <w:t>An overview of all the transplants and receptions that have changed (or ar</w:t>
      </w:r>
      <w:r>
        <w:t xml:space="preserve">e changing) the </w:t>
      </w:r>
      <w:r>
        <w:rPr>
          <w:rFonts w:cs="Calibri"/>
        </w:rPr>
        <w:t>legal landscape of the world is a task that exceeds the ambition of this piece. A brief pre</w:t>
      </w:r>
      <w:r>
        <w:t>sentation of some legal transfers that have acquired historical prominence is none the less helpful to understand the scale of the phenomenon and the</w:t>
      </w:r>
      <w:r>
        <w:t xml:space="preserve"> complexity of the issues involved. Accordingly, this section covers the reception of the Roman law from the Middle </w:t>
      </w:r>
      <w:r>
        <w:rPr>
          <w:rFonts w:cs="Calibri"/>
        </w:rPr>
        <w:t>Ages up to the epoch of the national codifications, the diffusion of some influential nation</w:t>
      </w:r>
      <w:r>
        <w:t>al codifications both inside and outside Europe,</w:t>
      </w:r>
      <w:r>
        <w:t xml:space="preserve"> and the expansion of the common law across the world. The last part of this section concerns the transfer of constitutional norms, to show more clearly that legal transfers are by no means confined to private law matters, but are found in every branch of </w:t>
      </w:r>
      <w:r>
        <w:t>the law.</w:t>
      </w:r>
    </w:p>
    <w:p w:rsidR="00441B30" w:rsidRDefault="00C96797">
      <w:pPr>
        <w:spacing w:after="0"/>
        <w:ind w:left="-5"/>
      </w:pPr>
      <w:r>
        <w:lastRenderedPageBreak/>
        <w:t xml:space="preserve">Inevitably, the cases considered later constitute a very small sampling of legal transplants and receptions. The general character of these phenomena should alert the reader to the </w:t>
      </w:r>
      <w:r>
        <w:rPr>
          <w:rFonts w:cs="Calibri"/>
        </w:rPr>
        <w:t>fact that the dynamics triggered by transplants and receptions are</w:t>
      </w:r>
      <w:r>
        <w:rPr>
          <w:rFonts w:cs="Calibri"/>
        </w:rPr>
        <w:t xml:space="preserve"> not unique to the geo</w:t>
      </w:r>
      <w:r>
        <w:t xml:space="preserve">graphical areas covered by the following survey, nor to the fields of law touched by it. There is, indeed, no lack of evidence that transplants and receptions have taken place in </w:t>
      </w:r>
      <w:r>
        <w:rPr>
          <w:rFonts w:cs="Calibri"/>
        </w:rPr>
        <w:t xml:space="preserve">many geographical areas and in disparate fields of the </w:t>
      </w:r>
      <w:r>
        <w:rPr>
          <w:rFonts w:cs="Calibri"/>
        </w:rPr>
        <w:t>law around the world. An interest</w:t>
      </w:r>
      <w:r>
        <w:t xml:space="preserve">ing case is the influence of traditional Chinese law outside China, notably in pre-modern Japan. Japan first borrowed Chinese characters in the early centuries of the Christian era, </w:t>
      </w:r>
      <w:r>
        <w:rPr>
          <w:rFonts w:cs="Calibri"/>
        </w:rPr>
        <w:t>many centuries after their first use in C</w:t>
      </w:r>
      <w:r>
        <w:rPr>
          <w:rFonts w:cs="Calibri"/>
        </w:rPr>
        <w:t>hina. The influence of China’s literate culture in Japan produced the reception of the T’ang (</w:t>
      </w:r>
      <w:r>
        <w:t>AD</w:t>
      </w:r>
      <w:r>
        <w:rPr>
          <w:rFonts w:cs="Calibri"/>
        </w:rPr>
        <w:t xml:space="preserve"> 619–906) Codes by the imperial court dur</w:t>
      </w:r>
      <w:r>
        <w:t>ing the eighth century</w:t>
      </w:r>
      <w:r>
        <w:rPr>
          <w:rFonts w:cs="Calibri"/>
        </w:rPr>
        <w:t xml:space="preserve"> </w:t>
      </w:r>
      <w:r>
        <w:t>AD</w:t>
      </w:r>
      <w:r>
        <w:rPr>
          <w:rFonts w:cs="Calibri"/>
        </w:rPr>
        <w:t xml:space="preserve"> </w:t>
      </w:r>
      <w:r>
        <w:t>with a few adaptations. After that, Japan was exposed to neo-</w:t>
      </w:r>
      <w:r>
        <w:rPr>
          <w:rFonts w:cs="Calibri"/>
        </w:rPr>
        <w:t xml:space="preserve"> </w:t>
      </w:r>
      <w:r>
        <w:t>confucian ideas of family and governance that were also adapted to the local situation. Even in the Tokugawa period (AD</w:t>
      </w:r>
      <w:r>
        <w:rPr>
          <w:rFonts w:cs="Calibri"/>
        </w:rPr>
        <w:t xml:space="preserve"> 1603–1867), which was marked by a relative isolation, </w:t>
      </w:r>
      <w:r>
        <w:t>the Chinese influence in Japan was still felt in the shogunate and daimyo domains.</w:t>
      </w:r>
      <w:r>
        <w:rPr>
          <w:vertAlign w:val="superscript"/>
        </w:rPr>
        <w:t>12</w:t>
      </w:r>
      <w:r>
        <w:rPr>
          <w:rFonts w:cs="Calibri"/>
        </w:rPr>
        <w:t xml:space="preserve"> </w:t>
      </w:r>
      <w:r>
        <w:t>The diffusion of Islamic law in the world is another major example of legal modelling on a large scale that has been studied in depth and deserves attention. Islamic law itself has</w:t>
      </w:r>
      <w:r>
        <w:rPr>
          <w:rFonts w:cs="Calibri"/>
        </w:rPr>
        <w:t xml:space="preserve"> </w:t>
      </w:r>
    </w:p>
    <w:p w:rsidR="00441B30" w:rsidRDefault="00C96797">
      <w:pPr>
        <w:spacing w:after="350" w:line="327" w:lineRule="auto"/>
        <w:ind w:left="-15" w:firstLine="135"/>
      </w:pPr>
      <w:r>
        <w:rPr>
          <w:rFonts w:cs="Calibri"/>
          <w:noProof/>
          <w:sz w:val="22"/>
        </w:rPr>
        <mc:AlternateContent>
          <mc:Choice Requires="wpg">
            <w:drawing>
              <wp:anchor distT="0" distB="0" distL="114300" distR="114300" simplePos="0" relativeHeight="251662336" behindDoc="0" locked="0" layoutInCell="1" allowOverlap="1">
                <wp:simplePos x="0" y="0"/>
                <wp:positionH relativeFrom="column">
                  <wp:posOffset>28575</wp:posOffset>
                </wp:positionH>
                <wp:positionV relativeFrom="paragraph">
                  <wp:posOffset>3086</wp:posOffset>
                </wp:positionV>
                <wp:extent cx="436626" cy="142875"/>
                <wp:effectExtent l="0" t="0" r="0" b="0"/>
                <wp:wrapNone/>
                <wp:docPr id="46647" name="Group 46647"/>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3752" name="Shape 3752"/>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647" style="width:34.38pt;height:11.25pt;position:absolute;z-index:73;mso-position-horizontal-relative:text;mso-position-horizontal:absolute;margin-left:2.25pt;mso-position-vertical-relative:text;margin-top:0.242981pt;" coordsize="4366,1428">
                <v:shape id="Shape 3752"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rPr>
          <w:rFonts w:cs="Calibri"/>
          <w:color w:val="666666"/>
          <w:sz w:val="14"/>
        </w:rPr>
        <w:t xml:space="preserve">(p. 446) </w:t>
      </w:r>
      <w:r>
        <w:rPr>
          <w:rFonts w:cs="Calibri"/>
        </w:rPr>
        <w:t>been repeatedly confronted with the challenge created by cont</w:t>
      </w:r>
      <w:r>
        <w:rPr>
          <w:rFonts w:cs="Calibri"/>
        </w:rPr>
        <w:t>acts with other le</w:t>
      </w:r>
      <w:r>
        <w:t>gal systems and their influence.</w:t>
      </w:r>
      <w:r>
        <w:rPr>
          <w:vertAlign w:val="superscript"/>
        </w:rPr>
        <w:t>13</w:t>
      </w:r>
    </w:p>
    <w:p w:rsidR="00441B30" w:rsidRDefault="00C96797">
      <w:pPr>
        <w:pStyle w:val="Heading2"/>
        <w:ind w:left="-5"/>
      </w:pPr>
      <w:r>
        <w:t>1.</w:t>
      </w:r>
      <w:r>
        <w:t xml:space="preserve"> </w:t>
      </w:r>
      <w:r>
        <w:t>The Reception of Roman Law in Europe and in Other Parts of the World</w:t>
      </w:r>
    </w:p>
    <w:p w:rsidR="00441B30" w:rsidRDefault="00C96797">
      <w:pPr>
        <w:spacing w:after="246"/>
        <w:ind w:left="-5"/>
      </w:pPr>
      <w:r>
        <w:t xml:space="preserve">The re-birth of Roman law in the Middle Ages and its spread to most parts of continental </w:t>
      </w:r>
      <w:r>
        <w:rPr>
          <w:rFonts w:cs="Calibri"/>
        </w:rPr>
        <w:t>Europe and Scotland probably represents th</w:t>
      </w:r>
      <w:r>
        <w:rPr>
          <w:rFonts w:cs="Calibri"/>
        </w:rPr>
        <w:t>e best-known case of diffusion of a legal mod</w:t>
      </w:r>
      <w:r>
        <w:t>el across the European space.</w:t>
      </w:r>
      <w:r>
        <w:rPr>
          <w:vertAlign w:val="superscript"/>
        </w:rPr>
        <w:t>14</w:t>
      </w:r>
    </w:p>
    <w:p w:rsidR="00441B30" w:rsidRDefault="00C96797">
      <w:pPr>
        <w:spacing w:after="255"/>
        <w:ind w:left="-5"/>
      </w:pPr>
      <w:r>
        <w:t>This gradual process started in Bologna, the first centre of university learning, around the year</w:t>
      </w:r>
      <w:r>
        <w:rPr>
          <w:rFonts w:cs="Calibri"/>
        </w:rPr>
        <w:t xml:space="preserve"> </w:t>
      </w:r>
      <w:r>
        <w:t>AD</w:t>
      </w:r>
      <w:r>
        <w:rPr>
          <w:rFonts w:cs="Calibri"/>
        </w:rPr>
        <w:t xml:space="preserve"> 1070, as an intellectual attempt to bring to life an ideal model of law, not s</w:t>
      </w:r>
      <w:r>
        <w:rPr>
          <w:rFonts w:cs="Calibri"/>
        </w:rPr>
        <w:t>anctioned at first, by any political power. The lawyers involved in this enterprise, with the no</w:t>
      </w:r>
      <w:r>
        <w:t>table later exception of the Humanists, were not philologists.</w:t>
      </w:r>
      <w:r>
        <w:rPr>
          <w:vertAlign w:val="superscript"/>
        </w:rPr>
        <w:t>15</w:t>
      </w:r>
      <w:r>
        <w:rPr>
          <w:rFonts w:cs="Calibri"/>
        </w:rPr>
        <w:t xml:space="preserve"> </w:t>
      </w:r>
      <w:r>
        <w:t>They tried to elucidate the meaning of their sources, but they looked at them primarily from th</w:t>
      </w:r>
      <w:r>
        <w:t>e perspective of their contemporary reality. This fundamental attitude persisted until the end of the</w:t>
      </w:r>
      <w:r>
        <w:rPr>
          <w:rFonts w:cs="Calibri"/>
        </w:rPr>
        <w:t xml:space="preserve"> ius com</w:t>
      </w:r>
      <w:r>
        <w:rPr>
          <w:rFonts w:cs="Calibri"/>
          <w:i/>
        </w:rPr>
        <w:t>mune</w:t>
      </w:r>
      <w:r>
        <w:rPr>
          <w:rFonts w:cs="Calibri"/>
        </w:rPr>
        <w:t xml:space="preserve"> </w:t>
      </w:r>
      <w:r>
        <w:t xml:space="preserve">in Europe and explains the subsequent transformations of the interpretation and </w:t>
      </w:r>
      <w:r>
        <w:rPr>
          <w:rFonts w:cs="Calibri"/>
        </w:rPr>
        <w:t>application of the Roman sources during that epoch. The lawyer</w:t>
      </w:r>
      <w:r>
        <w:rPr>
          <w:rFonts w:cs="Calibri"/>
        </w:rPr>
        <w:t>s involved in the recep</w:t>
      </w:r>
      <w:r>
        <w:t xml:space="preserve">tion of the Roman law felt free to adapt and reinterpret it whenever they had sufficient </w:t>
      </w:r>
      <w:r>
        <w:rPr>
          <w:rFonts w:cs="Calibri"/>
        </w:rPr>
        <w:t>reasons to do so. This was hardly an original sin, however, as Justinian’s compilation itself had seen the light thanks to the selective appropr</w:t>
      </w:r>
      <w:r>
        <w:rPr>
          <w:rFonts w:cs="Calibri"/>
        </w:rPr>
        <w:t>iation and the interpolation of the origi</w:t>
      </w:r>
      <w:r>
        <w:t>nal sources. Indeed, since the codification of the civil law eventually rescued the study of the Roman law sources from their troubling association with legal practice, nineteenth-</w:t>
      </w:r>
      <w:r>
        <w:rPr>
          <w:rFonts w:cs="Calibri"/>
        </w:rPr>
        <w:t xml:space="preserve"> </w:t>
      </w:r>
      <w:r>
        <w:t>century German legal historians no</w:t>
      </w:r>
      <w:r>
        <w:t>ticed that, as a result of codification, the Roman legal sources could finally be subject to a proper historical scrutiny.</w:t>
      </w:r>
      <w:r>
        <w:rPr>
          <w:vertAlign w:val="superscript"/>
        </w:rPr>
        <w:t>16</w:t>
      </w:r>
    </w:p>
    <w:p w:rsidR="00441B30" w:rsidRDefault="00C96797">
      <w:pPr>
        <w:ind w:left="-5"/>
      </w:pPr>
      <w:r>
        <w:rPr>
          <w:rFonts w:cs="Calibri"/>
          <w:noProof/>
          <w:sz w:val="22"/>
        </w:rPr>
        <mc:AlternateContent>
          <mc:Choice Requires="wpg">
            <w:drawing>
              <wp:anchor distT="0" distB="0" distL="114300" distR="114300" simplePos="0" relativeHeight="251663360" behindDoc="0" locked="0" layoutInCell="1" allowOverlap="1">
                <wp:simplePos x="0" y="0"/>
                <wp:positionH relativeFrom="column">
                  <wp:posOffset>787019</wp:posOffset>
                </wp:positionH>
                <wp:positionV relativeFrom="paragraph">
                  <wp:posOffset>1204930</wp:posOffset>
                </wp:positionV>
                <wp:extent cx="436499" cy="142875"/>
                <wp:effectExtent l="0" t="0" r="0" b="0"/>
                <wp:wrapNone/>
                <wp:docPr id="46293" name="Group 46293"/>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3852" name="Shape 3852"/>
                        <wps:cNvSpPr/>
                        <wps:spPr>
                          <a:xfrm>
                            <a:off x="0" y="0"/>
                            <a:ext cx="436499" cy="142875"/>
                          </a:xfrm>
                          <a:custGeom>
                            <a:avLst/>
                            <a:gdLst/>
                            <a:ahLst/>
                            <a:cxnLst/>
                            <a:rect l="0" t="0" r="0" b="0"/>
                            <a:pathLst>
                              <a:path w="436499" h="142875">
                                <a:moveTo>
                                  <a:pt x="28575" y="0"/>
                                </a:moveTo>
                                <a:cubicBezTo>
                                  <a:pt x="28575" y="0"/>
                                  <a:pt x="28575" y="0"/>
                                  <a:pt x="407924" y="0"/>
                                </a:cubicBezTo>
                                <a:cubicBezTo>
                                  <a:pt x="423672" y="0"/>
                                  <a:pt x="436499" y="12700"/>
                                  <a:pt x="436499" y="28575"/>
                                </a:cubicBezTo>
                                <a:cubicBezTo>
                                  <a:pt x="436499" y="28575"/>
                                  <a:pt x="436499" y="28575"/>
                                  <a:pt x="436499" y="114300"/>
                                </a:cubicBezTo>
                                <a:cubicBezTo>
                                  <a:pt x="436499" y="130048"/>
                                  <a:pt x="423672" y="142875"/>
                                  <a:pt x="407924" y="142875"/>
                                </a:cubicBezTo>
                                <a:cubicBezTo>
                                  <a:pt x="407924" y="142875"/>
                                  <a:pt x="407924" y="142875"/>
                                  <a:pt x="28575" y="142875"/>
                                </a:cubicBezTo>
                                <a:cubicBezTo>
                                  <a:pt x="12700" y="142875"/>
                                  <a:pt x="0" y="130048"/>
                                  <a:pt x="0" y="114300"/>
                                </a:cubicBezTo>
                                <a:lnTo>
                                  <a:pt x="0" y="28575"/>
                                </a:lnTo>
                                <a:cubicBezTo>
                                  <a:pt x="0" y="12700"/>
                                  <a:pt x="12700"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293" style="width:34.37pt;height:11.25pt;position:absolute;z-index:50;mso-position-horizontal-relative:text;mso-position-horizontal:absolute;margin-left:61.97pt;mso-position-vertical-relative:text;margin-top:94.8763pt;" coordsize="4364,1428">
                <v:shape id="Shape 3852" style="position:absolute;width:4364;height:1428;left:0;top:0;" coordsize="436499,142875" path="m28575,0c28575,0,28575,0,407924,0c423672,0,436499,12700,436499,28575c436499,28575,436499,28575,436499,114300c436499,130048,423672,142875,407924,142875c407924,142875,407924,142875,28575,142875c12700,142875,0,130048,0,114300l0,28575c0,12700,12700,0,28575,0x">
                  <v:stroke weight="0pt" endcap="square" joinstyle="miter" miterlimit="10" on="false" color="#000000" opacity="0"/>
                  <v:fill on="true" color="#e3e3e3"/>
                </v:shape>
              </v:group>
            </w:pict>
          </mc:Fallback>
        </mc:AlternateContent>
      </w:r>
      <w:r>
        <w:rPr>
          <w:rFonts w:cs="Calibri"/>
        </w:rPr>
        <w:t>As mentioned earlier, the story of this long love affair with Roman law had its initial cen</w:t>
      </w:r>
      <w:r>
        <w:t>tre of gravity in the universities. The</w:t>
      </w:r>
      <w:r>
        <w:t xml:space="preserve"> universities adopted the study of Roman law as a </w:t>
      </w:r>
      <w:r>
        <w:rPr>
          <w:rFonts w:cs="Calibri"/>
        </w:rPr>
        <w:t>proper object of learning. From the eleventh century onwards, Roman law-based educa</w:t>
      </w:r>
      <w:r>
        <w:t xml:space="preserve">tion at the universities prepared, for centuries to come, a whole class of learned lawyers </w:t>
      </w:r>
      <w:r>
        <w:rPr>
          <w:rFonts w:cs="Calibri"/>
        </w:rPr>
        <w:t>who practised law as administrat</w:t>
      </w:r>
      <w:r>
        <w:rPr>
          <w:rFonts w:cs="Calibri"/>
        </w:rPr>
        <w:t>ors, judges, notaries, and advocates. The Roman law re</w:t>
      </w:r>
      <w:r>
        <w:t>vived by the universities eventually received political sanction from the Emperor, but sometimes</w:t>
      </w:r>
      <w:r>
        <w:rPr>
          <w:rFonts w:cs="Calibri"/>
        </w:rPr>
        <w:t xml:space="preserve"> </w:t>
      </w:r>
      <w:r>
        <w:rPr>
          <w:rFonts w:cs="Calibri"/>
          <w:color w:val="666666"/>
          <w:sz w:val="14"/>
        </w:rPr>
        <w:t xml:space="preserve">(p. 447) </w:t>
      </w:r>
      <w:r>
        <w:t>also met with resistance, even within his realm.</w:t>
      </w:r>
      <w:r>
        <w:rPr>
          <w:vertAlign w:val="superscript"/>
        </w:rPr>
        <w:t>17</w:t>
      </w:r>
      <w:r>
        <w:rPr>
          <w:rFonts w:cs="Calibri"/>
        </w:rPr>
        <w:t xml:space="preserve"> To be sure, the Roman law never prevailed to </w:t>
      </w:r>
      <w:r>
        <w:rPr>
          <w:rFonts w:cs="Calibri"/>
        </w:rPr>
        <w:t>the exclusion of other legal orders, nor was it uniformly re</w:t>
      </w:r>
      <w:r>
        <w:t xml:space="preserve">ceived throughout Europe even in the lands that today form part of the civil law world. Canon law, feudal law, and the law merchant evolved in parallel and were also part of the </w:t>
      </w:r>
      <w:r>
        <w:rPr>
          <w:rFonts w:cs="Calibri"/>
        </w:rPr>
        <w:t>European landscape</w:t>
      </w:r>
      <w:r>
        <w:rPr>
          <w:rFonts w:cs="Calibri"/>
        </w:rPr>
        <w:t xml:space="preserve"> together with local legislation and the customary laws of each region. They too, however, were often </w:t>
      </w:r>
      <w:r>
        <w:rPr>
          <w:rFonts w:cs="Calibri"/>
        </w:rPr>
        <w:lastRenderedPageBreak/>
        <w:t>infiltrated by Romanist learning because of the com</w:t>
      </w:r>
      <w:r>
        <w:t>mon Roman law-based education of the lawyers who dealt with them.</w:t>
      </w:r>
    </w:p>
    <w:p w:rsidR="00441B30" w:rsidRDefault="00C96797">
      <w:pPr>
        <w:spacing w:after="242"/>
        <w:ind w:left="-5"/>
      </w:pPr>
      <w:r>
        <w:t>It is often claimed that Roman law wa</w:t>
      </w:r>
      <w:r>
        <w:t xml:space="preserve">s received in most European countries because of its superior quality but this point has been disputed too. Paul Koschaker, for example, </w:t>
      </w:r>
      <w:r>
        <w:rPr>
          <w:rFonts w:cs="Calibri"/>
        </w:rPr>
        <w:t xml:space="preserve">held that this claim was at odds with the historical reality—the reception of Roman law in </w:t>
      </w:r>
      <w:r>
        <w:t>Europe was not the result of</w:t>
      </w:r>
      <w:r>
        <w:t xml:space="preserve"> free choice, but of historical necessity.</w:t>
      </w:r>
      <w:r>
        <w:rPr>
          <w:vertAlign w:val="superscript"/>
        </w:rPr>
        <w:t>18</w:t>
      </w:r>
      <w:r>
        <w:rPr>
          <w:rFonts w:cs="Calibri"/>
        </w:rPr>
        <w:t xml:space="preserve"> Recent empirical re</w:t>
      </w:r>
      <w:r>
        <w:t xml:space="preserve">search supports the idea that the rational, scientific, and systematic approach to the sources adopted as the basis of the training of jurists in the newly established universities </w:t>
      </w:r>
      <w:r>
        <w:rPr>
          <w:rFonts w:cs="Calibri"/>
        </w:rPr>
        <w:t>was the cau</w:t>
      </w:r>
      <w:r>
        <w:rPr>
          <w:rFonts w:cs="Calibri"/>
        </w:rPr>
        <w:t>se of Europe’s medieval turn to the Roman law, rather than the intrinsic quali</w:t>
      </w:r>
      <w:r>
        <w:t>ty of the substantive rules on which the jurists exercised their intellectual powers.</w:t>
      </w:r>
      <w:r>
        <w:rPr>
          <w:vertAlign w:val="superscript"/>
        </w:rPr>
        <w:t>19</w:t>
      </w:r>
    </w:p>
    <w:p w:rsidR="00441B30" w:rsidRDefault="00C96797">
      <w:pPr>
        <w:ind w:left="-5"/>
      </w:pPr>
      <w:r>
        <w:t xml:space="preserve">To be sure, the occasional presence of strong central institutions antedating the triumph </w:t>
      </w:r>
      <w:r>
        <w:rPr>
          <w:rFonts w:cs="Calibri"/>
        </w:rPr>
        <w:t>of the Roman law tradition in the universities may explain patterns of resistance to its re</w:t>
      </w:r>
      <w:r>
        <w:t>ception. The growth of English law provides indirect support to this argument, which is also illustrated by several chapters of the history of French law.</w:t>
      </w:r>
    </w:p>
    <w:p w:rsidR="00441B30" w:rsidRDefault="00C96797">
      <w:pPr>
        <w:spacing w:after="237"/>
        <w:ind w:left="-5"/>
      </w:pPr>
      <w:r>
        <w:rPr>
          <w:rFonts w:cs="Calibri"/>
          <w:noProof/>
          <w:sz w:val="22"/>
        </w:rPr>
        <mc:AlternateContent>
          <mc:Choice Requires="wpg">
            <w:drawing>
              <wp:anchor distT="0" distB="0" distL="114300" distR="114300" simplePos="0" relativeHeight="251664384" behindDoc="0" locked="0" layoutInCell="1" allowOverlap="1">
                <wp:simplePos x="0" y="0"/>
                <wp:positionH relativeFrom="column">
                  <wp:posOffset>1093089</wp:posOffset>
                </wp:positionH>
                <wp:positionV relativeFrom="paragraph">
                  <wp:posOffset>2360282</wp:posOffset>
                </wp:positionV>
                <wp:extent cx="436626" cy="142875"/>
                <wp:effectExtent l="0" t="0" r="0" b="0"/>
                <wp:wrapNone/>
                <wp:docPr id="46538" name="Group 46538"/>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3948" name="Shape 3948"/>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538" style="width:34.38pt;height:11.25pt;position:absolute;z-index:42;mso-position-horizontal-relative:text;mso-position-horizontal:absolute;margin-left:86.07pt;mso-position-vertical-relative:text;margin-top:185.849pt;" coordsize="4366,1428">
                <v:shape id="Shape 3948"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t xml:space="preserve">English common law developed on the foundations of the institutional structures provided by a set of centralized courts staffed by lawyers who were mostly trained as practitioners </w:t>
      </w:r>
      <w:r>
        <w:rPr>
          <w:rFonts w:cs="Calibri"/>
        </w:rPr>
        <w:t>and not as doctors of civil law. This is not to say that England remained co</w:t>
      </w:r>
      <w:r>
        <w:rPr>
          <w:rFonts w:cs="Calibri"/>
        </w:rPr>
        <w:t>mpletely isolated from the continent or that it ignored the Romanist legal heritage for most of its histo</w:t>
      </w:r>
      <w:r>
        <w:t>ry. There are simply too many pages of English legal history that reveal contacts with that tradition to adopt this simplistic point of view.</w:t>
      </w:r>
      <w:r>
        <w:rPr>
          <w:vertAlign w:val="superscript"/>
        </w:rPr>
        <w:t>20</w:t>
      </w:r>
      <w:r>
        <w:rPr>
          <w:rFonts w:cs="Calibri"/>
        </w:rPr>
        <w:t xml:space="preserve"> </w:t>
      </w:r>
      <w:r>
        <w:t>In fact, over the centuries, the Romanist legal heritage repeatedly attracted attention in England. It inspired the elaboration of specific rules and eventually offered the opportunity to organize the structure of major subjects, such as contracts and tort</w:t>
      </w:r>
      <w:r>
        <w:t>s.</w:t>
      </w:r>
      <w:r>
        <w:rPr>
          <w:vertAlign w:val="superscript"/>
        </w:rPr>
        <w:t>21</w:t>
      </w:r>
      <w:r>
        <w:rPr>
          <w:rFonts w:cs="Calibri"/>
        </w:rPr>
        <w:t xml:space="preserve"> </w:t>
      </w:r>
      <w:r>
        <w:t>Indeed, some institutions that are often thought to be specifically English, such as trusts, upon closer examination turn out to be part of a wider European picture.</w:t>
      </w:r>
      <w:r>
        <w:rPr>
          <w:vertAlign w:val="superscript"/>
        </w:rPr>
        <w:t>22</w:t>
      </w:r>
      <w:r>
        <w:rPr>
          <w:rFonts w:cs="Calibri"/>
        </w:rPr>
        <w:t xml:space="preserve"> </w:t>
      </w:r>
      <w:r>
        <w:t>Even the sharpening perception of the distinctive features of the English legal tra</w:t>
      </w:r>
      <w:r>
        <w:t>dition owes much to the comparison between the laws of England and the laws of</w:t>
      </w:r>
      <w:r>
        <w:rPr>
          <w:rFonts w:cs="Calibri"/>
        </w:rPr>
        <w:t xml:space="preserve"> </w:t>
      </w:r>
      <w:r>
        <w:rPr>
          <w:rFonts w:cs="Calibri"/>
          <w:color w:val="666666"/>
          <w:sz w:val="14"/>
        </w:rPr>
        <w:t xml:space="preserve">(p. 448) </w:t>
      </w:r>
      <w:r>
        <w:t>continental Europe.</w:t>
      </w:r>
      <w:r>
        <w:rPr>
          <w:vertAlign w:val="superscript"/>
        </w:rPr>
        <w:t>23</w:t>
      </w:r>
      <w:r>
        <w:rPr>
          <w:rFonts w:cs="Calibri"/>
        </w:rPr>
        <w:t xml:space="preserve"> </w:t>
      </w:r>
      <w:r>
        <w:t>Until the twentieth century, American law was also exposed to the influence of the civil law, which began to decline only with the outbreak of Wor</w:t>
      </w:r>
      <w:r>
        <w:t>ld War I.</w:t>
      </w:r>
      <w:r>
        <w:rPr>
          <w:vertAlign w:val="superscript"/>
        </w:rPr>
        <w:t>24</w:t>
      </w:r>
    </w:p>
    <w:p w:rsidR="00441B30" w:rsidRDefault="00C96797">
      <w:pPr>
        <w:ind w:left="-5"/>
      </w:pPr>
      <w:r>
        <w:t xml:space="preserve">For better or for worse, during most of its history, the system of origin of one of the </w:t>
      </w:r>
      <w:r>
        <w:rPr>
          <w:rFonts w:cs="Calibri"/>
        </w:rPr>
        <w:t>world’s main legal traditions, the common law, developed along a path that was quite sep</w:t>
      </w:r>
      <w:r>
        <w:t>arate from the teaching of the Roman law in the universities so that</w:t>
      </w:r>
      <w:r>
        <w:t xml:space="preserve"> the impact of civilian learning remained much more limited than on the continent.</w:t>
      </w:r>
    </w:p>
    <w:p w:rsidR="00441B30" w:rsidRDefault="00C96797">
      <w:pPr>
        <w:spacing w:after="309" w:line="327" w:lineRule="auto"/>
        <w:ind w:left="-5"/>
      </w:pPr>
      <w:r>
        <w:rPr>
          <w:rFonts w:cs="Calibri"/>
        </w:rPr>
        <w:t>Outside of Europe, the initial spread of the Romanist learning in Central and Latin Ameri</w:t>
      </w:r>
      <w:r>
        <w:t>ca and elsewhere, for example, in South Africa, was an effect of the expansion of im</w:t>
      </w:r>
      <w:r>
        <w:t xml:space="preserve">perial </w:t>
      </w:r>
      <w:r>
        <w:rPr>
          <w:rFonts w:cs="Calibri"/>
        </w:rPr>
        <w:t>and colonial powers. The Roman law was the legal tradition of the conquerors and colo</w:t>
      </w:r>
      <w:r>
        <w:t xml:space="preserve">nizers and thus became one of the sources of the local law, which in Latin America was </w:t>
      </w:r>
      <w:r>
        <w:rPr>
          <w:rFonts w:cs="Calibri"/>
        </w:rPr>
        <w:t>eventually replaced by codifications. In South Africa, Roman-Dutch law is fol</w:t>
      </w:r>
      <w:r>
        <w:rPr>
          <w:rFonts w:cs="Calibri"/>
        </w:rPr>
        <w:t>lowed in contract, delict, and some parts of property law, while in other fields, such as civil and crimi</w:t>
      </w:r>
      <w:r>
        <w:t>nal procedure, or company law, the English influence prevailed.</w:t>
      </w:r>
    </w:p>
    <w:p w:rsidR="00441B30" w:rsidRDefault="00C96797">
      <w:pPr>
        <w:pStyle w:val="Heading2"/>
        <w:spacing w:after="233"/>
        <w:ind w:left="-5"/>
      </w:pPr>
      <w:r>
        <w:lastRenderedPageBreak/>
        <w:t>2.</w:t>
      </w:r>
      <w:r>
        <w:t xml:space="preserve"> </w:t>
      </w:r>
      <w:r>
        <w:t>Some Civil Codes and their Diffusion</w:t>
      </w:r>
    </w:p>
    <w:p w:rsidR="00441B30" w:rsidRDefault="00C96797">
      <w:pPr>
        <w:spacing w:after="228" w:line="327" w:lineRule="auto"/>
        <w:ind w:left="-5"/>
      </w:pPr>
      <w:r>
        <w:t>The period of the</w:t>
      </w:r>
      <w:r>
        <w:rPr>
          <w:rFonts w:cs="Calibri"/>
        </w:rPr>
        <w:t xml:space="preserve"> </w:t>
      </w:r>
      <w:r>
        <w:rPr>
          <w:rFonts w:cs="Calibri"/>
          <w:i/>
        </w:rPr>
        <w:t>ius commune</w:t>
      </w:r>
      <w:r>
        <w:rPr>
          <w:rFonts w:cs="Calibri"/>
        </w:rPr>
        <w:t xml:space="preserve"> </w:t>
      </w:r>
      <w:r>
        <w:t>on the European c</w:t>
      </w:r>
      <w:r>
        <w:t xml:space="preserve">ontinent came to an end when the </w:t>
      </w:r>
      <w:r>
        <w:rPr>
          <w:rFonts w:cs="Calibri"/>
        </w:rPr>
        <w:t>movement to codify the law produced a wave of legal change. The most influential codification in Europe was the French civil code enacted in 1804. Its model was widely imitat</w:t>
      </w:r>
      <w:r>
        <w:t>ed throughout the world.</w:t>
      </w:r>
      <w:r>
        <w:rPr>
          <w:vertAlign w:val="superscript"/>
        </w:rPr>
        <w:t>25</w:t>
      </w:r>
    </w:p>
    <w:p w:rsidR="00441B30" w:rsidRDefault="00C96797">
      <w:pPr>
        <w:ind w:left="-5"/>
      </w:pPr>
      <w:r>
        <w:rPr>
          <w:rFonts w:cs="Calibri"/>
          <w:noProof/>
          <w:sz w:val="22"/>
        </w:rPr>
        <mc:AlternateContent>
          <mc:Choice Requires="wpg">
            <w:drawing>
              <wp:anchor distT="0" distB="0" distL="114300" distR="114300" simplePos="0" relativeHeight="251665408" behindDoc="0" locked="0" layoutInCell="1" allowOverlap="1">
                <wp:simplePos x="0" y="0"/>
                <wp:positionH relativeFrom="column">
                  <wp:posOffset>1880235</wp:posOffset>
                </wp:positionH>
                <wp:positionV relativeFrom="paragraph">
                  <wp:posOffset>2404953</wp:posOffset>
                </wp:positionV>
                <wp:extent cx="436499" cy="142875"/>
                <wp:effectExtent l="0" t="0" r="0" b="0"/>
                <wp:wrapNone/>
                <wp:docPr id="46539" name="Group 46539"/>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3997" name="Shape 3997"/>
                        <wps:cNvSpPr/>
                        <wps:spPr>
                          <a:xfrm>
                            <a:off x="0" y="0"/>
                            <a:ext cx="436499" cy="142875"/>
                          </a:xfrm>
                          <a:custGeom>
                            <a:avLst/>
                            <a:gdLst/>
                            <a:ahLst/>
                            <a:cxnLst/>
                            <a:rect l="0" t="0" r="0" b="0"/>
                            <a:pathLst>
                              <a:path w="436499" h="142875">
                                <a:moveTo>
                                  <a:pt x="28575" y="0"/>
                                </a:moveTo>
                                <a:cubicBezTo>
                                  <a:pt x="28575" y="0"/>
                                  <a:pt x="28575" y="0"/>
                                  <a:pt x="407924" y="0"/>
                                </a:cubicBezTo>
                                <a:cubicBezTo>
                                  <a:pt x="423672" y="0"/>
                                  <a:pt x="436499" y="12827"/>
                                  <a:pt x="436499" y="28575"/>
                                </a:cubicBezTo>
                                <a:cubicBezTo>
                                  <a:pt x="436499" y="28575"/>
                                  <a:pt x="436499" y="28575"/>
                                  <a:pt x="436499" y="114300"/>
                                </a:cubicBezTo>
                                <a:cubicBezTo>
                                  <a:pt x="436499" y="130175"/>
                                  <a:pt x="423672" y="142875"/>
                                  <a:pt x="407924" y="142875"/>
                                </a:cubicBezTo>
                                <a:cubicBezTo>
                                  <a:pt x="407924" y="142875"/>
                                  <a:pt x="407924" y="142875"/>
                                  <a:pt x="28575" y="142875"/>
                                </a:cubicBezTo>
                                <a:cubicBezTo>
                                  <a:pt x="12700" y="142875"/>
                                  <a:pt x="0" y="130175"/>
                                  <a:pt x="0" y="114300"/>
                                </a:cubicBezTo>
                                <a:lnTo>
                                  <a:pt x="0" y="28575"/>
                                </a:lnTo>
                                <a:cubicBezTo>
                                  <a:pt x="0" y="12827"/>
                                  <a:pt x="12700"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539" style="width:34.37pt;height:11.25pt;position:absolute;z-index:91;mso-position-horizontal-relative:text;mso-position-horizontal:absolute;margin-left:148.05pt;mso-position-vertical-relative:text;margin-top:189.366pt;" coordsize="4364,1428">
                <v:shape id="Shape 3997" style="position:absolute;width:4364;height:1428;left:0;top:0;" coordsize="436499,142875" path="m28575,0c28575,0,28575,0,407924,0c423672,0,436499,12827,436499,28575c436499,28575,436499,28575,436499,114300c436499,130175,423672,142875,407924,142875c407924,142875,407924,142875,28575,142875c12700,142875,0,130175,0,114300l0,28575c0,12827,12700,0,28575,0x">
                  <v:stroke weight="0pt" endcap="square" joinstyle="miter" miterlimit="10" on="false" color="#000000" opacity="0"/>
                  <v:fill on="true" color="#e3e3e3"/>
                </v:shape>
              </v:group>
            </w:pict>
          </mc:Fallback>
        </mc:AlternateContent>
      </w:r>
      <w:r>
        <w:t xml:space="preserve">The diffusion of the </w:t>
      </w:r>
      <w:r>
        <w:t>French civil code was at first linked to the military success of the Napoleonic army. The civil code was initially enacted in countries annexed by France or brought under its rule or control. Thus, it entered into force in the Netherlands, first in a sligh</w:t>
      </w:r>
      <w:r>
        <w:t xml:space="preserve">tly altered version and then in its original form, when the country was annexed in 1809. Belgium and Luxembourg were French territories when the code was introduced </w:t>
      </w:r>
      <w:r>
        <w:rPr>
          <w:rFonts w:cs="Calibri"/>
        </w:rPr>
        <w:t>there. In Germany, the code was enacted in the territories that were annexed to the Em</w:t>
      </w:r>
      <w:r>
        <w:t>pire,</w:t>
      </w:r>
      <w:r>
        <w:t xml:space="preserve"> and in a few others, either with, or without modifications.</w:t>
      </w:r>
      <w:r>
        <w:rPr>
          <w:vertAlign w:val="superscript"/>
        </w:rPr>
        <w:t>26</w:t>
      </w:r>
      <w:r>
        <w:rPr>
          <w:rFonts w:cs="Calibri"/>
        </w:rPr>
        <w:t xml:space="preserve"> </w:t>
      </w:r>
      <w:r>
        <w:t>Moving further east, the Napoleonic code entered into force in Poland where, as in some other countries, it was not translated but simply enacted in French. In Switzerland, the Canton of Geneva</w:t>
      </w:r>
      <w:r>
        <w:t xml:space="preserve"> and the Bernese Jura (both parts of the French Republic) had the code. But the French code was also imitated without being imposed. An early example of this different dynamic is found in the Louisiana Digest of 1808. This text followed the plan of the Fre</w:t>
      </w:r>
      <w:r>
        <w:t>nch civil code and was largely influenced</w:t>
      </w:r>
      <w:r>
        <w:rPr>
          <w:rFonts w:cs="Calibri"/>
        </w:rPr>
        <w:t xml:space="preserve"> </w:t>
      </w:r>
      <w:r>
        <w:rPr>
          <w:rFonts w:cs="Calibri"/>
          <w:color w:val="666666"/>
          <w:sz w:val="14"/>
        </w:rPr>
        <w:t xml:space="preserve">(p. 449) </w:t>
      </w:r>
      <w:r>
        <w:t xml:space="preserve">by it, though Spanish civil law was initially also very influential. The French legacy in Lower Canada was also apparent in the civil code of Lower Canada of 1866, effective until it was superseded by the </w:t>
      </w:r>
      <w:r>
        <w:t>Quebec civil code of 1994.</w:t>
      </w:r>
      <w:r>
        <w:rPr>
          <w:vertAlign w:val="superscript"/>
        </w:rPr>
        <w:t>27</w:t>
      </w:r>
    </w:p>
    <w:p w:rsidR="00441B30" w:rsidRDefault="00C96797">
      <w:pPr>
        <w:ind w:left="-5"/>
      </w:pPr>
      <w:r>
        <w:rPr>
          <w:rFonts w:cs="Calibri"/>
        </w:rPr>
        <w:t>The restoration following Napoleon’s fall did not generally lead to the repeal of the civil code. In the countries where the original version of the code was repealed, modified ver</w:t>
      </w:r>
      <w:r>
        <w:t>sions were subsequently enacted. In the Netherl</w:t>
      </w:r>
      <w:r>
        <w:t>ands, the</w:t>
      </w:r>
      <w:r>
        <w:rPr>
          <w:rFonts w:cs="Calibri"/>
        </w:rPr>
        <w:t xml:space="preserve"> </w:t>
      </w:r>
      <w:r>
        <w:rPr>
          <w:rFonts w:cs="Calibri"/>
          <w:i/>
        </w:rPr>
        <w:t>Burgerlijk Wetboek</w:t>
      </w:r>
      <w:r>
        <w:rPr>
          <w:rFonts w:cs="Calibri"/>
        </w:rPr>
        <w:t xml:space="preserve"> of 1838 (re</w:t>
      </w:r>
      <w:r>
        <w:t xml:space="preserve">pealed with the entry into force of the new Dutch civil code in the late twentieth century) </w:t>
      </w:r>
      <w:r>
        <w:rPr>
          <w:rFonts w:cs="Calibri"/>
        </w:rPr>
        <w:t>was essentially a translation of the French codification. The Italian civil code of 1865, ap</w:t>
      </w:r>
      <w:r>
        <w:t>plicable until superseded by the</w:t>
      </w:r>
      <w:r>
        <w:rPr>
          <w:rFonts w:cs="Calibri"/>
        </w:rPr>
        <w:t xml:space="preserve"> </w:t>
      </w:r>
      <w:r>
        <w:rPr>
          <w:rFonts w:cs="Calibri"/>
          <w:i/>
        </w:rPr>
        <w:t>Codice civile</w:t>
      </w:r>
      <w:r>
        <w:rPr>
          <w:rFonts w:cs="Calibri"/>
        </w:rPr>
        <w:t xml:space="preserve"> </w:t>
      </w:r>
      <w:r>
        <w:t>of 1942, was also by and large a translation of the French model. The French civil code and the project of the first Italian civil code were in turn the basis of the Romanian codification that entered into force in 1865 and was eventually re</w:t>
      </w:r>
      <w:r>
        <w:t>placed by a new civil code in 2011.</w:t>
      </w:r>
    </w:p>
    <w:p w:rsidR="00441B30" w:rsidRDefault="00C96797">
      <w:pPr>
        <w:spacing w:after="242"/>
        <w:ind w:left="-5"/>
      </w:pPr>
      <w:r>
        <w:t>The diffusion of the model provided by the French</w:t>
      </w:r>
      <w:r>
        <w:rPr>
          <w:rFonts w:cs="Calibri"/>
        </w:rPr>
        <w:t xml:space="preserve"> </w:t>
      </w:r>
      <w:r>
        <w:rPr>
          <w:rFonts w:cs="Calibri"/>
          <w:i/>
        </w:rPr>
        <w:t>Code civil</w:t>
      </w:r>
      <w:r>
        <w:rPr>
          <w:rFonts w:cs="Calibri"/>
        </w:rPr>
        <w:t xml:space="preserve"> outside of Europe is remark</w:t>
      </w:r>
      <w:r>
        <w:t xml:space="preserve">able as well. In Central and South America, its advent was facilitated by the fact that </w:t>
      </w:r>
      <w:r>
        <w:rPr>
          <w:rFonts w:cs="Calibri"/>
        </w:rPr>
        <w:t>most countries achieved independence when th</w:t>
      </w:r>
      <w:r>
        <w:rPr>
          <w:rFonts w:cs="Calibri"/>
        </w:rPr>
        <w:t>e French civil code was practically the only model available (other than the Austrian codification of 1811). The Dominican Repub</w:t>
      </w:r>
      <w:r>
        <w:t>lic, Haiti, and Bolivia replicated the original text most closely. Many of the subsequent codifications are indebted to the civi</w:t>
      </w:r>
      <w:r>
        <w:t>l code of Chile (1855), which was partly based on the French precedent,</w:t>
      </w:r>
      <w:r>
        <w:rPr>
          <w:vertAlign w:val="superscript"/>
        </w:rPr>
        <w:t>28</w:t>
      </w:r>
      <w:r>
        <w:rPr>
          <w:rFonts w:cs="Calibri"/>
        </w:rPr>
        <w:t xml:space="preserve"> </w:t>
      </w:r>
      <w:r>
        <w:t>and show a tendency to draw from more recent codes as well, such as the German (1900), the Swiss (1912), and the Italian (1942).</w:t>
      </w:r>
      <w:r>
        <w:rPr>
          <w:vertAlign w:val="superscript"/>
        </w:rPr>
        <w:t>29</w:t>
      </w:r>
    </w:p>
    <w:p w:rsidR="00441B30" w:rsidRDefault="00C96797">
      <w:pPr>
        <w:spacing w:after="225"/>
        <w:ind w:left="-5"/>
      </w:pPr>
      <w:r>
        <w:t>In Asia, the Japanese civil code of 1898 is largely</w:t>
      </w:r>
      <w:r>
        <w:t xml:space="preserve"> indebted to the German model, though it also includes features of the French.</w:t>
      </w:r>
    </w:p>
    <w:p w:rsidR="00441B30" w:rsidRDefault="00C96797">
      <w:pPr>
        <w:ind w:left="-5"/>
      </w:pPr>
      <w:r>
        <w:t>With the exception of Turkey and Israel, the</w:t>
      </w:r>
      <w:r>
        <w:rPr>
          <w:rFonts w:cs="Calibri"/>
        </w:rPr>
        <w:t xml:space="preserve"> </w:t>
      </w:r>
      <w:r>
        <w:rPr>
          <w:rFonts w:cs="Calibri"/>
          <w:i/>
        </w:rPr>
        <w:t>Code civil</w:t>
      </w:r>
      <w:r>
        <w:rPr>
          <w:rFonts w:cs="Calibri"/>
        </w:rPr>
        <w:t xml:space="preserve"> </w:t>
      </w:r>
      <w:r>
        <w:t>reached Africa and the Middle East as well. African lawyers in francophone countries still often approach the law through the provisions of the</w:t>
      </w:r>
      <w:r>
        <w:rPr>
          <w:rFonts w:cs="Calibri"/>
        </w:rPr>
        <w:t xml:space="preserve"> </w:t>
      </w:r>
      <w:r>
        <w:rPr>
          <w:rFonts w:cs="Calibri"/>
          <w:i/>
        </w:rPr>
        <w:t>Code civil</w:t>
      </w:r>
      <w:r>
        <w:t xml:space="preserve">. Another vehicle of (indirect) French influence was the Egyptian civil code of 1949, which sought to </w:t>
      </w:r>
      <w:r>
        <w:t xml:space="preserve">knit together Islamic and Western </w:t>
      </w:r>
      <w:r>
        <w:rPr>
          <w:rFonts w:cs="Calibri"/>
        </w:rPr>
        <w:t xml:space="preserve">law thanks to the efforts of ’Abd al-Razzāq al-Sanhūrī, who worked with Eduard Lambert </w:t>
      </w:r>
      <w:r>
        <w:t>and Louis Josserand on the codification project.</w:t>
      </w:r>
      <w:r>
        <w:rPr>
          <w:vertAlign w:val="superscript"/>
        </w:rPr>
        <w:t>30</w:t>
      </w:r>
      <w:r>
        <w:rPr>
          <w:rFonts w:cs="Calibri"/>
        </w:rPr>
        <w:t xml:space="preserve"> </w:t>
      </w:r>
      <w:r>
        <w:t>The Egyptian precedent was influential in Lebanon, Syria, Iraq, Libya, Algeria, Qata</w:t>
      </w:r>
      <w:r>
        <w:t>r, Kuwait, and Bahrain.</w:t>
      </w:r>
    </w:p>
    <w:p w:rsidR="00441B30" w:rsidRDefault="00C96797">
      <w:pPr>
        <w:spacing w:after="9"/>
        <w:ind w:left="-5"/>
      </w:pPr>
      <w:r>
        <w:lastRenderedPageBreak/>
        <w:t>While this diffusion of the</w:t>
      </w:r>
      <w:r>
        <w:rPr>
          <w:rFonts w:cs="Calibri"/>
        </w:rPr>
        <w:t xml:space="preserve"> </w:t>
      </w:r>
      <w:r>
        <w:rPr>
          <w:rFonts w:cs="Calibri"/>
          <w:i/>
        </w:rPr>
        <w:t>Code civil</w:t>
      </w:r>
      <w:r>
        <w:rPr>
          <w:rFonts w:cs="Calibri"/>
        </w:rPr>
        <w:t xml:space="preserve"> </w:t>
      </w:r>
      <w:r>
        <w:t xml:space="preserve">was often based on force, the initial imposition was </w:t>
      </w:r>
      <w:r>
        <w:rPr>
          <w:rFonts w:cs="Calibri"/>
        </w:rPr>
        <w:t>not the key to its final success. Its acceptance after Napoleon’s defeat calls for further ex</w:t>
      </w:r>
      <w:r>
        <w:t>planation.</w:t>
      </w:r>
      <w:r>
        <w:rPr>
          <w:vertAlign w:val="superscript"/>
        </w:rPr>
        <w:t>31</w:t>
      </w:r>
      <w:r>
        <w:rPr>
          <w:rFonts w:cs="Calibri"/>
        </w:rPr>
        <w:t xml:space="preserve"> </w:t>
      </w:r>
      <w:r>
        <w:t>In many European countries, the co</w:t>
      </w:r>
      <w:r>
        <w:t>ntent of the civil code was not entirely novel. In fact, it rested to a great extent on the foundation of a common legal heritage.</w:t>
      </w:r>
      <w:r>
        <w:rPr>
          <w:rFonts w:cs="Calibri"/>
        </w:rPr>
        <w:t xml:space="preserve"> </w:t>
      </w:r>
    </w:p>
    <w:p w:rsidR="00441B30" w:rsidRDefault="00C96797">
      <w:pPr>
        <w:ind w:left="-15" w:firstLine="135"/>
      </w:pPr>
      <w:r>
        <w:rPr>
          <w:rFonts w:cs="Calibri"/>
          <w:noProof/>
          <w:sz w:val="22"/>
        </w:rPr>
        <mc:AlternateContent>
          <mc:Choice Requires="wpg">
            <w:drawing>
              <wp:anchor distT="0" distB="0" distL="114300" distR="114300" simplePos="0" relativeHeight="251666432" behindDoc="0" locked="0" layoutInCell="1" allowOverlap="1">
                <wp:simplePos x="0" y="0"/>
                <wp:positionH relativeFrom="column">
                  <wp:posOffset>28575</wp:posOffset>
                </wp:positionH>
                <wp:positionV relativeFrom="paragraph">
                  <wp:posOffset>3380</wp:posOffset>
                </wp:positionV>
                <wp:extent cx="436626" cy="142875"/>
                <wp:effectExtent l="0" t="0" r="0" b="0"/>
                <wp:wrapNone/>
                <wp:docPr id="46398" name="Group 46398"/>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120" name="Shape 4120"/>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398" style="width:34.38pt;height:11.25pt;position:absolute;z-index:93;mso-position-horizontal-relative:text;mso-position-horizontal:absolute;margin-left:2.25pt;mso-position-vertical-relative:text;margin-top:0.266174pt;" coordsize="4366,1428">
                <v:shape id="Shape 4120"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color w:val="666666"/>
          <w:sz w:val="14"/>
        </w:rPr>
        <w:t xml:space="preserve">(p. 450) </w:t>
      </w:r>
      <w:r>
        <w:t>Though the</w:t>
      </w:r>
      <w:r>
        <w:rPr>
          <w:rFonts w:cs="Calibri"/>
        </w:rPr>
        <w:t xml:space="preserve"> </w:t>
      </w:r>
      <w:r>
        <w:rPr>
          <w:rFonts w:cs="Calibri"/>
          <w:i/>
        </w:rPr>
        <w:t>Code civil</w:t>
      </w:r>
      <w:r>
        <w:rPr>
          <w:rFonts w:cs="Calibri"/>
        </w:rPr>
        <w:t xml:space="preserve"> could claim to be the first codification in the world to her</w:t>
      </w:r>
      <w:r>
        <w:t>ald the ideals of a bourgeois so</w:t>
      </w:r>
      <w:r>
        <w:t>ciety, it did not incorporate the most radical ideas aired during the French Revolution. Furthermore, the rather loose character of several of its provisions made it a flexible and adaptable text. Indeed, its acceptance did not always mean a departure from</w:t>
      </w:r>
      <w:r>
        <w:t xml:space="preserve"> the local legal culture. Finally, the introduction of the code (or some version of it) was often accompanied by reforms that excluded parts of it, such as the articles on marriage and divorce. Other parts that were considered defective from a </w:t>
      </w:r>
      <w:r>
        <w:rPr>
          <w:rFonts w:cs="Calibri"/>
        </w:rPr>
        <w:t>technical po</w:t>
      </w:r>
      <w:r>
        <w:rPr>
          <w:rFonts w:cs="Calibri"/>
        </w:rPr>
        <w:t>int of view were also often rejected by the importing countries (eg the regula</w:t>
      </w:r>
      <w:r>
        <w:t>tion of mortgages).</w:t>
      </w:r>
    </w:p>
    <w:p w:rsidR="00441B30" w:rsidRDefault="00C96797">
      <w:pPr>
        <w:ind w:left="-5"/>
      </w:pPr>
      <w:r>
        <w:t xml:space="preserve">All in all, even when no legislation intervened to adapt the code to local circumstances, the application of the civil code in foreign lands made it part of, </w:t>
      </w:r>
      <w:r>
        <w:t xml:space="preserve">and influenced by, local </w:t>
      </w:r>
      <w:r>
        <w:rPr>
          <w:rFonts w:cs="Calibri"/>
        </w:rPr>
        <w:t>history. Outside the European continent, the code has been simply one of the many com</w:t>
      </w:r>
      <w:r>
        <w:t>ponents of a local legal order that was (and largely remains) pluralistic (see Section</w:t>
      </w:r>
      <w:r>
        <w:rPr>
          <w:rFonts w:cs="Calibri"/>
        </w:rPr>
        <w:t xml:space="preserve"> </w:t>
      </w:r>
      <w:r>
        <w:t>V). But even in Europe the fate of the code was more compli</w:t>
      </w:r>
      <w:r>
        <w:t xml:space="preserve">cated than one would at first imagine. Neither Italy nor the Netherlands, for example, let liability for damage caused </w:t>
      </w:r>
      <w:r>
        <w:rPr>
          <w:rFonts w:cs="Calibri"/>
        </w:rPr>
        <w:t xml:space="preserve">by things in someone’s custody grow into a comprehensive system of strict liability, as it </w:t>
      </w:r>
      <w:r>
        <w:t>did in France on the unlikely textual basis of</w:t>
      </w:r>
      <w:r>
        <w:t xml:space="preserve"> Art 1384</w:t>
      </w:r>
      <w:r>
        <w:rPr>
          <w:rFonts w:cs="Calibri"/>
        </w:rPr>
        <w:t xml:space="preserve"> </w:t>
      </w:r>
      <w:r>
        <w:rPr>
          <w:rFonts w:cs="Calibri"/>
          <w:i/>
        </w:rPr>
        <w:t>Code civil</w:t>
      </w:r>
      <w:r>
        <w:rPr>
          <w:rFonts w:cs="Calibri"/>
        </w:rPr>
        <w:t>. In fact, the interpreta</w:t>
      </w:r>
      <w:r>
        <w:t xml:space="preserve">tion of the code outside of France often stuck more closely to its letter than was the case </w:t>
      </w:r>
      <w:r>
        <w:rPr>
          <w:rFonts w:cs="Calibri"/>
        </w:rPr>
        <w:t xml:space="preserve">at home. Thus, the course of the code’s interpretation was no more predictable in France </w:t>
      </w:r>
      <w:r>
        <w:t>than abroad.</w:t>
      </w:r>
    </w:p>
    <w:p w:rsidR="00441B30" w:rsidRDefault="00C96797">
      <w:pPr>
        <w:ind w:left="-5"/>
      </w:pPr>
      <w:r>
        <w:t>While no other ci</w:t>
      </w:r>
      <w:r>
        <w:t xml:space="preserve">vil code has matched the French in terms of foreign influence, the project of the German BGB became a source of inspiration for the Japanese civil code, which also bears traces of the French model. In turn, the Japanese codification provided the basis for </w:t>
      </w:r>
      <w:r>
        <w:t xml:space="preserve">the draft civil code of 1911 prepared in China during the last years of the </w:t>
      </w:r>
      <w:r>
        <w:rPr>
          <w:rFonts w:cs="Calibri"/>
        </w:rPr>
        <w:t>Qing dynasty; the legacy of the BGB is also present in the current debate about the making of China’s civil code.</w:t>
      </w:r>
      <w:r>
        <w:rPr>
          <w:vertAlign w:val="superscript"/>
        </w:rPr>
        <w:t>32</w:t>
      </w:r>
      <w:r>
        <w:rPr>
          <w:rFonts w:cs="Calibri"/>
        </w:rPr>
        <w:t xml:space="preserve"> </w:t>
      </w:r>
      <w:r>
        <w:t>South Korea, while under the direct rule of Japan, also came int</w:t>
      </w:r>
      <w:r>
        <w:t xml:space="preserve">o contact with the German model via the Japanese civil code. In Europe, the German codification influenced the present Greek civil code as well as the Portuguese codification of 1966, which, however, is also indebted to the Italian civil code of 1942. But </w:t>
      </w:r>
      <w:r>
        <w:t xml:space="preserve">the history of the influence of the German model abroad is a complex matter because that code was heavily indebted to the German legal science of its epoch. And the influence abroad of German legal science from the middle of the nineteenth century through </w:t>
      </w:r>
      <w:r>
        <w:t xml:space="preserve">the first three </w:t>
      </w:r>
      <w:r>
        <w:rPr>
          <w:rFonts w:cs="Calibri"/>
        </w:rPr>
        <w:t>decades of the twentieth century was simply immense. For example, virtually every twen</w:t>
      </w:r>
      <w:r>
        <w:t xml:space="preserve">tieth-century civil code that has a general part is indebted to the German model of private </w:t>
      </w:r>
      <w:r>
        <w:rPr>
          <w:rFonts w:cs="Calibri"/>
        </w:rPr>
        <w:t>law, in code form or otherwise. Indeed, in its heyday, the inf</w:t>
      </w:r>
      <w:r>
        <w:rPr>
          <w:rFonts w:cs="Calibri"/>
        </w:rPr>
        <w:t>luence of German legal sci</w:t>
      </w:r>
      <w:r>
        <w:t>ence was so great that even where the law in force owed nothing to the German code, the works of German jurists could guided its interpretation.</w:t>
      </w:r>
    </w:p>
    <w:p w:rsidR="00441B30" w:rsidRDefault="00C96797">
      <w:pPr>
        <w:ind w:left="-5"/>
      </w:pPr>
      <w:r>
        <w:rPr>
          <w:rFonts w:cs="Calibri"/>
          <w:noProof/>
          <w:sz w:val="22"/>
        </w:rPr>
        <mc:AlternateContent>
          <mc:Choice Requires="wpg">
            <w:drawing>
              <wp:anchor distT="0" distB="0" distL="114300" distR="114300" simplePos="0" relativeHeight="251667456" behindDoc="0" locked="0" layoutInCell="1" allowOverlap="1">
                <wp:simplePos x="0" y="0"/>
                <wp:positionH relativeFrom="column">
                  <wp:posOffset>1430528</wp:posOffset>
                </wp:positionH>
                <wp:positionV relativeFrom="paragraph">
                  <wp:posOffset>1004905</wp:posOffset>
                </wp:positionV>
                <wp:extent cx="436499" cy="142875"/>
                <wp:effectExtent l="0" t="0" r="0" b="0"/>
                <wp:wrapNone/>
                <wp:docPr id="46535" name="Group 46535"/>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4226" name="Shape 4226"/>
                        <wps:cNvSpPr/>
                        <wps:spPr>
                          <a:xfrm>
                            <a:off x="0" y="0"/>
                            <a:ext cx="436499" cy="142875"/>
                          </a:xfrm>
                          <a:custGeom>
                            <a:avLst/>
                            <a:gdLst/>
                            <a:ahLst/>
                            <a:cxnLst/>
                            <a:rect l="0" t="0" r="0" b="0"/>
                            <a:pathLst>
                              <a:path w="436499" h="142875">
                                <a:moveTo>
                                  <a:pt x="28575" y="0"/>
                                </a:moveTo>
                                <a:cubicBezTo>
                                  <a:pt x="28575" y="0"/>
                                  <a:pt x="28575" y="0"/>
                                  <a:pt x="407924" y="0"/>
                                </a:cubicBezTo>
                                <a:cubicBezTo>
                                  <a:pt x="423799" y="0"/>
                                  <a:pt x="436499" y="12700"/>
                                  <a:pt x="436499" y="28575"/>
                                </a:cubicBezTo>
                                <a:cubicBezTo>
                                  <a:pt x="436499" y="28575"/>
                                  <a:pt x="436499" y="28575"/>
                                  <a:pt x="436499" y="114300"/>
                                </a:cubicBezTo>
                                <a:cubicBezTo>
                                  <a:pt x="436499" y="130048"/>
                                  <a:pt x="423799" y="142875"/>
                                  <a:pt x="407924" y="142875"/>
                                </a:cubicBezTo>
                                <a:cubicBezTo>
                                  <a:pt x="407924" y="142875"/>
                                  <a:pt x="407924"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6535" style="width:34.37pt;height:11.25pt;position:absolute;z-index:76;mso-position-horizontal-relative:text;mso-position-horizontal:absolute;margin-left:112.64pt;mso-position-vertical-relative:text;margin-top:79.1263pt;" coordsize="4364,1428">
                <v:shape id="Shape 4226" style="position:absolute;width:4364;height:1428;left:0;top:0;" coordsize="436499,142875" path="m28575,0c28575,0,28575,0,407924,0c423799,0,436499,12700,436499,28575c436499,28575,436499,28575,436499,114300c436499,130048,423799,142875,407924,142875c407924,142875,407924,142875,28575,142875c12827,142875,0,130048,0,114300l0,28575c0,12700,12827,0,28575,0x">
                  <v:stroke weight="0pt" endcap="square" joinstyle="miter" miterlimit="10" on="false" color="#000000" opacity="0"/>
                  <v:fill on="true" color="#e3e3e3"/>
                </v:shape>
              </v:group>
            </w:pict>
          </mc:Fallback>
        </mc:AlternateContent>
      </w:r>
      <w:r>
        <w:t xml:space="preserve">As another example, the Swiss civil code and the Swiss code of obligations provided </w:t>
      </w:r>
      <w:r>
        <w:t xml:space="preserve">the </w:t>
      </w:r>
      <w:r>
        <w:rPr>
          <w:rFonts w:cs="Calibri"/>
        </w:rPr>
        <w:t>substance for the former Turkish civil code, enacted in 1926 after the creation of the Re</w:t>
      </w:r>
      <w:r>
        <w:t>public by Kemal Atatürk.</w:t>
      </w:r>
      <w:r>
        <w:rPr>
          <w:vertAlign w:val="superscript"/>
        </w:rPr>
        <w:t>33</w:t>
      </w:r>
      <w:r>
        <w:rPr>
          <w:rFonts w:cs="Calibri"/>
        </w:rPr>
        <w:t xml:space="preserve"> </w:t>
      </w:r>
      <w:r>
        <w:t xml:space="preserve">This transplant has been repeatedly investigated in the last </w:t>
      </w:r>
      <w:r>
        <w:rPr>
          <w:rFonts w:cs="Calibri"/>
        </w:rPr>
        <w:t>century because of the remarkable differences between Switzerland and Turke</w:t>
      </w:r>
      <w:r>
        <w:rPr>
          <w:rFonts w:cs="Calibri"/>
        </w:rPr>
        <w:t>y. The offi</w:t>
      </w:r>
      <w:r>
        <w:t>cial demise of Islamic law and the adoption of a secular order as a consequence of the choice to modernize</w:t>
      </w:r>
      <w:r>
        <w:rPr>
          <w:rFonts w:cs="Calibri"/>
        </w:rPr>
        <w:t xml:space="preserve"> </w:t>
      </w:r>
      <w:r>
        <w:rPr>
          <w:rFonts w:cs="Calibri"/>
          <w:color w:val="666666"/>
          <w:sz w:val="14"/>
        </w:rPr>
        <w:t xml:space="preserve">(p. 451) </w:t>
      </w:r>
      <w:r>
        <w:rPr>
          <w:rFonts w:cs="Calibri"/>
        </w:rPr>
        <w:t>Turkey fit a pattern of developmental idealism which has pro</w:t>
      </w:r>
      <w:r>
        <w:t xml:space="preserve">foundly affected the country. Today, the coexistence of official law </w:t>
      </w:r>
      <w:r>
        <w:t>and traditional norms in Turkey offers a typical example of legal pluralism, at least with respect to family law</w:t>
      </w:r>
      <w:r>
        <w:rPr>
          <w:vertAlign w:val="superscript"/>
        </w:rPr>
        <w:t>34</w:t>
      </w:r>
      <w:r>
        <w:rPr>
          <w:rFonts w:cs="Calibri"/>
          <w:vertAlign w:val="superscript"/>
        </w:rPr>
        <w:t xml:space="preserve"> </w:t>
      </w:r>
      <w:r>
        <w:t>(see Section</w:t>
      </w:r>
      <w:r>
        <w:rPr>
          <w:rFonts w:cs="Calibri"/>
        </w:rPr>
        <w:t xml:space="preserve"> </w:t>
      </w:r>
      <w:r>
        <w:t xml:space="preserve">VII). When accession to the European Union appeared feasible, </w:t>
      </w:r>
      <w:r>
        <w:lastRenderedPageBreak/>
        <w:t xml:space="preserve">Turkey </w:t>
      </w:r>
      <w:r>
        <w:rPr>
          <w:rFonts w:cs="Calibri"/>
        </w:rPr>
        <w:t>amended its Constitution and changed the code to promote gender equality in family matters. More recent events require these reforms to be evaluated in a different light, al</w:t>
      </w:r>
      <w:r>
        <w:t>though they ar</w:t>
      </w:r>
      <w:r>
        <w:t>e not for the moment disavowed.</w:t>
      </w:r>
    </w:p>
    <w:p w:rsidR="00441B30" w:rsidRDefault="00C96797">
      <w:pPr>
        <w:pStyle w:val="Heading2"/>
        <w:ind w:left="-5"/>
      </w:pPr>
      <w:r>
        <w:t>3.</w:t>
      </w:r>
      <w:r>
        <w:t xml:space="preserve"> </w:t>
      </w:r>
      <w:r>
        <w:t>The Diffusion of the Common Law</w:t>
      </w:r>
    </w:p>
    <w:p w:rsidR="00441B30" w:rsidRDefault="00C96797">
      <w:pPr>
        <w:ind w:left="-5"/>
      </w:pPr>
      <w:r>
        <w:t xml:space="preserve">The presence of the common law across the globe owes much to the growth of British trade and of Britain as a world power. At the height of its expansion, in 1921, the British </w:t>
      </w:r>
      <w:r>
        <w:rPr>
          <w:rFonts w:cs="Calibri"/>
        </w:rPr>
        <w:t>Empire include</w:t>
      </w:r>
      <w:r>
        <w:rPr>
          <w:rFonts w:cs="Calibri"/>
        </w:rPr>
        <w:t xml:space="preserve">d almost a third of the world’s lands and about a quarter of its population. </w:t>
      </w:r>
      <w:r>
        <w:t>After World War II, decolonization brought the empire to an end. The last significant British colony, Hong Kong, returned to Chinese sovereignty in 1997.</w:t>
      </w:r>
    </w:p>
    <w:p w:rsidR="00441B30" w:rsidRDefault="00C96797">
      <w:pPr>
        <w:spacing w:after="225" w:line="327" w:lineRule="auto"/>
        <w:ind w:left="-5"/>
      </w:pPr>
      <w:r>
        <w:rPr>
          <w:rFonts w:cs="Calibri"/>
        </w:rPr>
        <w:t>The British colonies comp</w:t>
      </w:r>
      <w:r>
        <w:rPr>
          <w:rFonts w:cs="Calibri"/>
        </w:rPr>
        <w:t>rised a variety of territories. Some lands were acquired by conquest or cession, others, such as the Australian continent, by right of first possession be</w:t>
      </w:r>
      <w:r>
        <w:t>cause the British considered them unoccupied (</w:t>
      </w:r>
      <w:r>
        <w:rPr>
          <w:rFonts w:cs="Calibri"/>
          <w:i/>
        </w:rPr>
        <w:t>terra nullius</w:t>
      </w:r>
      <w:r>
        <w:t>), although the factual premises of this di</w:t>
      </w:r>
      <w:r>
        <w:t>stinction were sometimes false or dubious.</w:t>
      </w:r>
      <w:r>
        <w:rPr>
          <w:vertAlign w:val="superscript"/>
        </w:rPr>
        <w:t>35</w:t>
      </w:r>
    </w:p>
    <w:p w:rsidR="00441B30" w:rsidRDefault="00C96797">
      <w:pPr>
        <w:spacing w:after="241"/>
        <w:ind w:left="-5"/>
      </w:pPr>
      <w:r>
        <w:rPr>
          <w:rFonts w:cs="Calibri"/>
          <w:noProof/>
          <w:sz w:val="22"/>
        </w:rPr>
        <mc:AlternateContent>
          <mc:Choice Requires="wpg">
            <w:drawing>
              <wp:anchor distT="0" distB="0" distL="114300" distR="114300" simplePos="0" relativeHeight="251668480" behindDoc="0" locked="0" layoutInCell="1" allowOverlap="1">
                <wp:simplePos x="0" y="0"/>
                <wp:positionH relativeFrom="column">
                  <wp:posOffset>1943989</wp:posOffset>
                </wp:positionH>
                <wp:positionV relativeFrom="paragraph">
                  <wp:posOffset>2204928</wp:posOffset>
                </wp:positionV>
                <wp:extent cx="436626" cy="142875"/>
                <wp:effectExtent l="0" t="0" r="0" b="0"/>
                <wp:wrapNone/>
                <wp:docPr id="50654" name="Group 50654"/>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325" name="Shape 4325"/>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50654" style="width:34.38pt;height:11.25pt;position:absolute;z-index:63;mso-position-horizontal-relative:text;mso-position-horizontal:absolute;margin-left:153.07pt;mso-position-vertical-relative:text;margin-top:173.616pt;" coordsize="4366,1428">
                <v:shape id="Shape 4325"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t>The territories the English settlers colonized without recognizing prior sovereignty were brought under the rule of the common law unless the local circumstances rendered this solution inappropriate. This qualification was often more important than the rul</w:t>
      </w:r>
      <w:r>
        <w:t xml:space="preserve">e itself. </w:t>
      </w:r>
      <w:r>
        <w:rPr>
          <w:rFonts w:cs="Calibri"/>
        </w:rPr>
        <w:t>The sources of law in each colony varied because each settlement could be treated differently in consideration of the nature of the venture and pursuant to the applicable legisla</w:t>
      </w:r>
      <w:r>
        <w:t xml:space="preserve">tion. By contrast, the British policy concerning conquered or ceded </w:t>
      </w:r>
      <w:r>
        <w:t>colonies was to leave the previously applicable law in force, unless it was undesirable or repugnant from the British point of view.</w:t>
      </w:r>
      <w:r>
        <w:rPr>
          <w:vertAlign w:val="superscript"/>
        </w:rPr>
        <w:t>36</w:t>
      </w:r>
      <w:r>
        <w:rPr>
          <w:rFonts w:cs="Calibri"/>
        </w:rPr>
        <w:t xml:space="preserve"> </w:t>
      </w:r>
      <w:r>
        <w:t xml:space="preserve">Thus, the local court system, and the traditional mechanisms of </w:t>
      </w:r>
      <w:r>
        <w:rPr>
          <w:rFonts w:cs="Calibri"/>
        </w:rPr>
        <w:t>dispute resolution in accordance with customary law, ofte</w:t>
      </w:r>
      <w:r>
        <w:rPr>
          <w:rFonts w:cs="Calibri"/>
        </w:rPr>
        <w:t>n continued to operate. Pursuant to this general policy, family and succession matters in the Indian subcontinent re</w:t>
      </w:r>
      <w:r>
        <w:t>mained subject to Hindu or Muslim law.</w:t>
      </w:r>
      <w:r>
        <w:rPr>
          <w:vertAlign w:val="superscript"/>
        </w:rPr>
        <w:t>37</w:t>
      </w:r>
      <w:r>
        <w:rPr>
          <w:rFonts w:cs="Calibri"/>
        </w:rPr>
        <w:t xml:space="preserve"> </w:t>
      </w:r>
      <w:r>
        <w:t>However, during the nineteenth century, the common law gained ground</w:t>
      </w:r>
      <w:r>
        <w:rPr>
          <w:rFonts w:cs="Calibri"/>
        </w:rPr>
        <w:t xml:space="preserve"> </w:t>
      </w:r>
      <w:r>
        <w:rPr>
          <w:rFonts w:cs="Calibri"/>
          <w:color w:val="666666"/>
          <w:sz w:val="14"/>
        </w:rPr>
        <w:t xml:space="preserve">(p. 452) </w:t>
      </w:r>
      <w:r>
        <w:t>and became the applic</w:t>
      </w:r>
      <w:r>
        <w:t xml:space="preserve">able law in most other regards. This was camouflaged by the general principle that, specific enactment aside, the courts </w:t>
      </w:r>
      <w:r>
        <w:rPr>
          <w:rFonts w:cs="Calibri"/>
        </w:rPr>
        <w:t>of British India adjudicated cases according to ‘principles of justice, good conscience and equity’ if found applicable to Indian socie</w:t>
      </w:r>
      <w:r>
        <w:rPr>
          <w:rFonts w:cs="Calibri"/>
        </w:rPr>
        <w:t>ty and circumstances.</w:t>
      </w:r>
      <w:r>
        <w:rPr>
          <w:vertAlign w:val="superscript"/>
        </w:rPr>
        <w:t>38</w:t>
      </w:r>
      <w:r>
        <w:rPr>
          <w:rFonts w:cs="Calibri"/>
        </w:rPr>
        <w:t xml:space="preserve"> </w:t>
      </w:r>
      <w:r>
        <w:t>When the British Crown itself took over the administration of India from the East India Company after 1857, it pursued a programme of codification and consolidation of law along the lines of English law. Over a period of fifty years</w:t>
      </w:r>
      <w:r>
        <w:t xml:space="preserve">, a number of Acts prescribed rules for civil and criminal </w:t>
      </w:r>
      <w:r>
        <w:rPr>
          <w:rFonts w:cs="Calibri"/>
        </w:rPr>
        <w:t>procedure, contracts, the sale of goods, partnerships, succession, and other matters. Af</w:t>
      </w:r>
      <w:r>
        <w:t>ter the fall of colonial rule this legislation was not repealed wholesale and the common law legacy became pa</w:t>
      </w:r>
      <w:r>
        <w:t>rt of the legal system of India under its new Constitution.</w:t>
      </w:r>
      <w:r>
        <w:rPr>
          <w:vertAlign w:val="superscript"/>
        </w:rPr>
        <w:t>39</w:t>
      </w:r>
    </w:p>
    <w:p w:rsidR="00441B30" w:rsidRDefault="00C96797">
      <w:pPr>
        <w:ind w:left="-5"/>
      </w:pPr>
      <w:r>
        <w:rPr>
          <w:rFonts w:cs="Calibri"/>
        </w:rPr>
        <w:t>A similar pattern of transition was apparent in the United States, although under very dif</w:t>
      </w:r>
      <w:r>
        <w:t xml:space="preserve">ferent constitutional and socio-cultural conditions. After the creation of the Union, many </w:t>
      </w:r>
      <w:r>
        <w:rPr>
          <w:rFonts w:cs="Calibri"/>
        </w:rPr>
        <w:t>of the federa</w:t>
      </w:r>
      <w:r>
        <w:rPr>
          <w:rFonts w:cs="Calibri"/>
        </w:rPr>
        <w:t xml:space="preserve">ted States adopted ‘reception statutes’ receiving the English common law </w:t>
      </w:r>
      <w:r>
        <w:t>and Acts of Parliament as they existed as of a certain date (usually 1507, 1620 or 1776), provided that they were not contrary to federal or state constitutions or statutes. Once more</w:t>
      </w:r>
      <w:r>
        <w:t>, reception involved transformation,</w:t>
      </w:r>
      <w:r>
        <w:rPr>
          <w:vertAlign w:val="superscript"/>
        </w:rPr>
        <w:t>40</w:t>
      </w:r>
      <w:r>
        <w:rPr>
          <w:rFonts w:cs="Calibri"/>
        </w:rPr>
        <w:t xml:space="preserve"> </w:t>
      </w:r>
      <w:r>
        <w:t>and in any case the formative era of American law was marked by a variety of influences.</w:t>
      </w:r>
    </w:p>
    <w:p w:rsidR="00441B30" w:rsidRDefault="00C96797">
      <w:pPr>
        <w:spacing w:after="327"/>
        <w:ind w:left="-5"/>
      </w:pPr>
      <w:r>
        <w:t>The formal recognition of the link between the law of newly independent countries and English law has not been universal but, ev</w:t>
      </w:r>
      <w:r>
        <w:t xml:space="preserve">en where it has not occurred, the English legal heritage remained part of the newly established legal system. Therefore, today the laws of many jurisdictions once under British control still share several distinctive features. </w:t>
      </w:r>
      <w:r>
        <w:rPr>
          <w:rFonts w:cs="Calibri"/>
        </w:rPr>
        <w:t>The role of the judiciary, th</w:t>
      </w:r>
      <w:r>
        <w:rPr>
          <w:rFonts w:cs="Calibri"/>
        </w:rPr>
        <w:t xml:space="preserve">e relationship between bench and bar, the methods of legal </w:t>
      </w:r>
      <w:r>
        <w:rPr>
          <w:rFonts w:cs="Calibri"/>
        </w:rPr>
        <w:lastRenderedPageBreak/>
        <w:t>ed</w:t>
      </w:r>
      <w:r>
        <w:t>ucation, and the style and substance of legislation make the impact of the common law tradition immediately clear to the foreign observer. Indeed, one could argue that some features of the origin</w:t>
      </w:r>
      <w:r>
        <w:t xml:space="preserve">al model are better preserved abroad than in England. But such a view of the matter is somewhat partial and superficial; it needs to be qualified because </w:t>
      </w:r>
      <w:r>
        <w:rPr>
          <w:rFonts w:cs="Calibri"/>
        </w:rPr>
        <w:t>the new environment often required an adaptation to new circumstances as well as imagi</w:t>
      </w:r>
      <w:r>
        <w:t>native change.</w:t>
      </w:r>
    </w:p>
    <w:p w:rsidR="00441B30" w:rsidRDefault="00C96797">
      <w:pPr>
        <w:pStyle w:val="Heading2"/>
        <w:ind w:left="-5"/>
      </w:pPr>
      <w:r>
        <w:t>4</w:t>
      </w:r>
      <w:r>
        <w:t>.</w:t>
      </w:r>
      <w:r>
        <w:t xml:space="preserve"> </w:t>
      </w:r>
      <w:r>
        <w:t>Constitutional Transplants, Borrowings, and Migrations</w:t>
      </w:r>
    </w:p>
    <w:p w:rsidR="00441B30" w:rsidRDefault="00C96797">
      <w:pPr>
        <w:spacing w:after="1"/>
        <w:ind w:left="-5"/>
      </w:pPr>
      <w:r>
        <w:t>In recent years, legal transfers have become a hot topic in constitutional and comparative constitutional law.</w:t>
      </w:r>
      <w:r>
        <w:rPr>
          <w:vertAlign w:val="superscript"/>
        </w:rPr>
        <w:t>41</w:t>
      </w:r>
      <w:r>
        <w:rPr>
          <w:rFonts w:cs="Calibri"/>
        </w:rPr>
        <w:t xml:space="preserve"> </w:t>
      </w:r>
      <w:r>
        <w:t xml:space="preserve">Yet, the topic is also a classic, for obvious reasons. Since antiquity, </w:t>
      </w:r>
      <w:r>
        <w:rPr>
          <w:rFonts w:cs="Calibri"/>
        </w:rPr>
        <w:t>constitution m</w:t>
      </w:r>
      <w:r>
        <w:rPr>
          <w:rFonts w:cs="Calibri"/>
        </w:rPr>
        <w:t>aking has been conducted through the study of previous experiences, ei</w:t>
      </w:r>
      <w:r>
        <w:t xml:space="preserve">ther to borrow promising solutions, or to reject unfortunate constitutional </w:t>
      </w:r>
    </w:p>
    <w:p w:rsidR="00441B30" w:rsidRDefault="00C96797">
      <w:pPr>
        <w:spacing w:after="240"/>
        <w:ind w:left="-5"/>
      </w:pPr>
      <w:r>
        <w:rPr>
          <w:rFonts w:cs="Calibri"/>
          <w:noProof/>
          <w:sz w:val="22"/>
        </w:rPr>
        <mc:AlternateContent>
          <mc:Choice Requires="wpg">
            <w:drawing>
              <wp:anchor distT="0" distB="0" distL="114300" distR="114300" simplePos="0" relativeHeight="251669504" behindDoc="0" locked="0" layoutInCell="1" allowOverlap="1">
                <wp:simplePos x="0" y="0"/>
                <wp:positionH relativeFrom="column">
                  <wp:posOffset>2220468</wp:posOffset>
                </wp:positionH>
                <wp:positionV relativeFrom="paragraph">
                  <wp:posOffset>205166</wp:posOffset>
                </wp:positionV>
                <wp:extent cx="436626" cy="142875"/>
                <wp:effectExtent l="0" t="0" r="0" b="0"/>
                <wp:wrapNone/>
                <wp:docPr id="47541" name="Group 47541"/>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426" name="Shape 4426"/>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7541" style="width:34.38pt;height:11.25pt;position:absolute;z-index:53;mso-position-horizontal-relative:text;mso-position-horizontal:absolute;margin-left:174.84pt;mso-position-vertical-relative:text;margin-top:16.1548pt;" coordsize="4366,1428">
                <v:shape id="Shape 4426"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t>arrangements.</w:t>
      </w:r>
      <w:r>
        <w:rPr>
          <w:vertAlign w:val="superscript"/>
        </w:rPr>
        <w:t>42</w:t>
      </w:r>
      <w:r>
        <w:rPr>
          <w:rFonts w:cs="Calibri"/>
        </w:rPr>
        <w:t xml:space="preserve"> </w:t>
      </w:r>
      <w:r>
        <w:t>Furthermore, the exercise of power or influence over a certain territory has also been a fer</w:t>
      </w:r>
      <w:r>
        <w:t>tile source of</w:t>
      </w:r>
      <w:r>
        <w:rPr>
          <w:rFonts w:cs="Calibri"/>
        </w:rPr>
        <w:t xml:space="preserve"> </w:t>
      </w:r>
      <w:r>
        <w:rPr>
          <w:rFonts w:cs="Calibri"/>
          <w:color w:val="666666"/>
          <w:sz w:val="14"/>
        </w:rPr>
        <w:t xml:space="preserve">(p. 453) </w:t>
      </w:r>
      <w:r>
        <w:t xml:space="preserve">constitutional transfers. Thus, for example, in the </w:t>
      </w:r>
      <w:r>
        <w:rPr>
          <w:rFonts w:cs="Calibri"/>
        </w:rPr>
        <w:t>second half of the twentieth century, the process of decolonization carried with it consti</w:t>
      </w:r>
      <w:r>
        <w:t>tutional transplants on a large scale, as it happened when the constitutions of several Af</w:t>
      </w:r>
      <w:r>
        <w:t>rican States were written under the supervision of the British Colonial Office.</w:t>
      </w:r>
      <w:r>
        <w:rPr>
          <w:vertAlign w:val="superscript"/>
        </w:rPr>
        <w:t>43</w:t>
      </w:r>
    </w:p>
    <w:p w:rsidR="00441B30" w:rsidRDefault="00C96797">
      <w:pPr>
        <w:spacing w:after="257"/>
        <w:ind w:left="-5"/>
      </w:pPr>
      <w:r>
        <w:rPr>
          <w:rFonts w:cs="Calibri"/>
        </w:rPr>
        <w:t>This general pattern could not be openly acknowledged in the age of nationalism, because the prevailing philosophical view during the nineteenth century was that the constitution of a people depended in general ‘on the character and development of its self</w:t>
      </w:r>
      <w:r>
        <w:rPr>
          <w:rFonts w:cs="Calibri"/>
        </w:rPr>
        <w:t xml:space="preserve"> consciousness’,</w:t>
      </w:r>
      <w:r>
        <w:rPr>
          <w:vertAlign w:val="superscript"/>
        </w:rPr>
        <w:t>44</w:t>
      </w:r>
      <w:r>
        <w:rPr>
          <w:rFonts w:cs="Calibri"/>
        </w:rPr>
        <w:t xml:space="preserve"> </w:t>
      </w:r>
      <w:r>
        <w:t>an idea that is hardly dead today. In the aftermath of the fall of the Soviet block, and under the pressure of a new pace of integration of the world system, the topic was bound to be considered in a different light, however. New perspec</w:t>
      </w:r>
      <w:r>
        <w:t>tives pertain to the relation between the constitutional text, the local political and constitutional culture, the international and transnational dimensions of constitutionalism, and its relative success also with respect to the trajectory of constitution</w:t>
      </w:r>
      <w:r>
        <w:t>alism in Asia.</w:t>
      </w:r>
      <w:r>
        <w:rPr>
          <w:vertAlign w:val="superscript"/>
        </w:rPr>
        <w:t>45</w:t>
      </w:r>
      <w:r>
        <w:rPr>
          <w:rFonts w:cs="Calibri"/>
        </w:rPr>
        <w:t xml:space="preserve"> </w:t>
      </w:r>
      <w:r>
        <w:t xml:space="preserve">More recently, the study of the topic has benefited from quantitative approaches that add an empirical dimension, </w:t>
      </w:r>
      <w:r>
        <w:rPr>
          <w:rFonts w:cs="Calibri"/>
        </w:rPr>
        <w:t>and that help to renew its theoretical edge by opening new avenues for research by show</w:t>
      </w:r>
      <w:r>
        <w:t>ing what trends prevail at the world l</w:t>
      </w:r>
      <w:r>
        <w:t>evel through the diffusion of different constitutional models.</w:t>
      </w:r>
      <w:r>
        <w:rPr>
          <w:vertAlign w:val="superscript"/>
        </w:rPr>
        <w:t>46</w:t>
      </w:r>
    </w:p>
    <w:p w:rsidR="00441B30" w:rsidRDefault="00C96797">
      <w:pPr>
        <w:ind w:left="-5"/>
      </w:pPr>
      <w:r>
        <w:rPr>
          <w:rFonts w:cs="Calibri"/>
        </w:rPr>
        <w:t>There is at least one key example of a constitution that is clearly not a home-grown prod</w:t>
      </w:r>
      <w:r>
        <w:t>uct, ie the post World War II constitution of Japan. It is considered a prime example of a constitutio</w:t>
      </w:r>
      <w:r>
        <w:t>n conceived and imposed by external forces with sufficient leverage to make it effective in the country. A retrospective analysis of this dynamic highlights the need for a more nuanced approach to this case, however, because whole sectors of Japanese socie</w:t>
      </w:r>
      <w:r>
        <w:t>ty agreed that change was indeed needed in the aftermath of World War II.</w:t>
      </w:r>
      <w:r>
        <w:rPr>
          <w:vertAlign w:val="superscript"/>
        </w:rPr>
        <w:t>47</w:t>
      </w:r>
      <w:r>
        <w:rPr>
          <w:rFonts w:cs="Calibri"/>
        </w:rPr>
        <w:t xml:space="preserve"> Other constitu</w:t>
      </w:r>
      <w:r>
        <w:t>tional transplants, however, are much more dubious from a long term perspective, such as the recent constitutions of Iraq and Afghanistan, which were written at gun p</w:t>
      </w:r>
      <w:r>
        <w:t>oint.</w:t>
      </w:r>
    </w:p>
    <w:p w:rsidR="00441B30" w:rsidRDefault="00C96797">
      <w:pPr>
        <w:spacing w:after="231" w:line="327" w:lineRule="auto"/>
        <w:ind w:left="-5"/>
      </w:pPr>
      <w:r>
        <w:rPr>
          <w:rFonts w:cs="Calibri"/>
          <w:noProof/>
          <w:sz w:val="22"/>
        </w:rPr>
        <mc:AlternateContent>
          <mc:Choice Requires="wpg">
            <w:drawing>
              <wp:anchor distT="0" distB="0" distL="114300" distR="114300" simplePos="0" relativeHeight="251670528" behindDoc="0" locked="0" layoutInCell="1" allowOverlap="1">
                <wp:simplePos x="0" y="0"/>
                <wp:positionH relativeFrom="column">
                  <wp:posOffset>3011805</wp:posOffset>
                </wp:positionH>
                <wp:positionV relativeFrom="paragraph">
                  <wp:posOffset>2205055</wp:posOffset>
                </wp:positionV>
                <wp:extent cx="436499" cy="142875"/>
                <wp:effectExtent l="0" t="0" r="0" b="0"/>
                <wp:wrapNone/>
                <wp:docPr id="47584" name="Group 47584"/>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4528" name="Shape 4528"/>
                        <wps:cNvSpPr/>
                        <wps:spPr>
                          <a:xfrm>
                            <a:off x="0" y="0"/>
                            <a:ext cx="436499" cy="142875"/>
                          </a:xfrm>
                          <a:custGeom>
                            <a:avLst/>
                            <a:gdLst/>
                            <a:ahLst/>
                            <a:cxnLst/>
                            <a:rect l="0" t="0" r="0" b="0"/>
                            <a:pathLst>
                              <a:path w="436499" h="142875">
                                <a:moveTo>
                                  <a:pt x="28575" y="0"/>
                                </a:moveTo>
                                <a:cubicBezTo>
                                  <a:pt x="28575" y="0"/>
                                  <a:pt x="28575" y="0"/>
                                  <a:pt x="407924" y="0"/>
                                </a:cubicBezTo>
                                <a:cubicBezTo>
                                  <a:pt x="423799" y="0"/>
                                  <a:pt x="436499" y="12700"/>
                                  <a:pt x="436499" y="28575"/>
                                </a:cubicBezTo>
                                <a:cubicBezTo>
                                  <a:pt x="436499" y="28575"/>
                                  <a:pt x="436499" y="28575"/>
                                  <a:pt x="436499" y="114300"/>
                                </a:cubicBezTo>
                                <a:cubicBezTo>
                                  <a:pt x="436499" y="130048"/>
                                  <a:pt x="423799" y="142875"/>
                                  <a:pt x="407924" y="142875"/>
                                </a:cubicBezTo>
                                <a:cubicBezTo>
                                  <a:pt x="407924" y="142875"/>
                                  <a:pt x="407924"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7584" style="width:34.37pt;height:11.25pt;position:absolute;z-index:46;mso-position-horizontal-relative:text;mso-position-horizontal:absolute;margin-left:237.15pt;mso-position-vertical-relative:text;margin-top:173.626pt;" coordsize="4364,1428">
                <v:shape id="Shape 4528" style="position:absolute;width:4364;height:1428;left:0;top:0;" coordsize="436499,142875" path="m28575,0c28575,0,28575,0,407924,0c423799,0,436499,12700,436499,28575c436499,28575,436499,28575,436499,114300c436499,130048,423799,142875,407924,142875c407924,142875,407924,142875,28575,142875c12827,142875,0,130048,0,114300l0,28575c0,12700,12827,0,28575,0x">
                  <v:stroke weight="0pt" endcap="square" joinstyle="miter" miterlimit="10" on="false" color="#000000" opacity="0"/>
                  <v:fill on="true" color="#e3e3e3"/>
                </v:shape>
              </v:group>
            </w:pict>
          </mc:Fallback>
        </mc:AlternateContent>
      </w:r>
      <w:r>
        <w:t xml:space="preserve">Constitution-making in the present age has been standardized to a great degree and cast </w:t>
      </w:r>
      <w:r>
        <w:rPr>
          <w:rFonts w:cs="Calibri"/>
        </w:rPr>
        <w:t>in a rather uniform language that is shared among constitutional elites and their consul</w:t>
      </w:r>
      <w:r>
        <w:t>tants, as well as social movements with a constitutional agenda (think to</w:t>
      </w:r>
      <w:r>
        <w:t xml:space="preserve"> the spread </w:t>
      </w:r>
      <w:r>
        <w:rPr>
          <w:rFonts w:cs="Calibri"/>
        </w:rPr>
        <w:t>throughout the world of human rights norms). Günter Frankenberg points to the exis</w:t>
      </w:r>
      <w:r>
        <w:t xml:space="preserve">tence at the transnational level of a reservoir of constitutional ideas that are generated by </w:t>
      </w:r>
      <w:r>
        <w:rPr>
          <w:rFonts w:cs="Calibri"/>
        </w:rPr>
        <w:t>a de-contextualized, hegemonic liberal constitutionalism, still shap</w:t>
      </w:r>
      <w:r>
        <w:rPr>
          <w:rFonts w:cs="Calibri"/>
        </w:rPr>
        <w:t>ing mainstream com</w:t>
      </w:r>
      <w:r>
        <w:t xml:space="preserve">parative constitutional studies. The isolation from the local context, as the initial step in </w:t>
      </w:r>
      <w:r>
        <w:rPr>
          <w:rFonts w:cs="Calibri"/>
        </w:rPr>
        <w:t>the process leading to the creation of that reservoir, eventually makes these ideas suitable for display in a sort of IKEA showroom of universal</w:t>
      </w:r>
      <w:r>
        <w:rPr>
          <w:rFonts w:cs="Calibri"/>
        </w:rPr>
        <w:t xml:space="preserve">ly applicable </w:t>
      </w:r>
      <w:r>
        <w:rPr>
          <w:rFonts w:cs="Calibri"/>
        </w:rPr>
        <w:lastRenderedPageBreak/>
        <w:t>constitutional com</w:t>
      </w:r>
      <w:r>
        <w:t>modities.</w:t>
      </w:r>
      <w:r>
        <w:rPr>
          <w:vertAlign w:val="superscript"/>
        </w:rPr>
        <w:t>48</w:t>
      </w:r>
      <w:r>
        <w:rPr>
          <w:rFonts w:cs="Calibri"/>
        </w:rPr>
        <w:t xml:space="preserve"> </w:t>
      </w:r>
      <w:r>
        <w:t xml:space="preserve">At the end of this process, there is the recontextualization and adaptation to a </w:t>
      </w:r>
      <w:r>
        <w:rPr>
          <w:rFonts w:cs="Calibri"/>
        </w:rPr>
        <w:t>new or ‘host’ environment. This means that constitutions are not ‘invented’ by societies: ‘To be more precise, they are, by and lar</w:t>
      </w:r>
      <w:r>
        <w:rPr>
          <w:rFonts w:cs="Calibri"/>
        </w:rPr>
        <w:t xml:space="preserve">ge, </w:t>
      </w:r>
      <w:r>
        <w:rPr>
          <w:rFonts w:cs="Calibri"/>
          <w:color w:val="666666"/>
          <w:sz w:val="14"/>
        </w:rPr>
        <w:t xml:space="preserve">(p. 454) </w:t>
      </w:r>
      <w:r>
        <w:t>constructed by constitutional elites and experts on the basis of transnational transfers, involving a great deal of</w:t>
      </w:r>
      <w:r>
        <w:rPr>
          <w:rFonts w:cs="Calibri"/>
        </w:rPr>
        <w:t xml:space="preserve"> </w:t>
      </w:r>
      <w:r>
        <w:rPr>
          <w:rFonts w:cs="Calibri"/>
          <w:i/>
        </w:rPr>
        <w:t>bricolage</w:t>
      </w:r>
      <w:r>
        <w:rPr>
          <w:rFonts w:cs="Calibri"/>
        </w:rPr>
        <w:t>’.</w:t>
      </w:r>
      <w:r>
        <w:rPr>
          <w:vertAlign w:val="superscript"/>
        </w:rPr>
        <w:t>49</w:t>
      </w:r>
      <w:r>
        <w:rPr>
          <w:rFonts w:cs="Calibri"/>
          <w:vertAlign w:val="superscript"/>
        </w:rPr>
        <w:t xml:space="preserve"> </w:t>
      </w:r>
      <w:r>
        <w:rPr>
          <w:rFonts w:cs="Calibri"/>
        </w:rPr>
        <w:t>Frankenberg is reflecting on a phenomenon that is well known to comparative constitutional law scholars, who spea</w:t>
      </w:r>
      <w:r>
        <w:rPr>
          <w:rFonts w:cs="Calibri"/>
        </w:rPr>
        <w:t>k of ‘constitutions without constitutionalism’ to refer to doc</w:t>
      </w:r>
      <w:r>
        <w:t>uments that do not live up to the promises they make, and that are quite often the results of transplants.</w:t>
      </w:r>
      <w:r>
        <w:rPr>
          <w:vertAlign w:val="superscript"/>
        </w:rPr>
        <w:t>50</w:t>
      </w:r>
    </w:p>
    <w:p w:rsidR="00441B30" w:rsidRDefault="00C96797">
      <w:pPr>
        <w:ind w:left="-5"/>
      </w:pPr>
      <w:r>
        <w:t xml:space="preserve">Beyond this, there is the larger issue of constitutional interpretation conducted in </w:t>
      </w:r>
      <w:r>
        <w:t>the light of foreign examples, possibly as a vehicle for solutions anchored to them. The use of comparative law in constitutional adjudication has divided especially the US Supreme Court in the late 1990s and early 2000s, though it is far less controversia</w:t>
      </w:r>
      <w:r>
        <w:t xml:space="preserve">l elsewhere. The role of comparative law in their interpretation is formally admitted by some constitutions, like the South African, which allows the Constitutional Court to consider foreign law in </w:t>
      </w:r>
      <w:r>
        <w:rPr>
          <w:rFonts w:cs="Calibri"/>
        </w:rPr>
        <w:t>the interpretation of the Bill of Rights. Still, the use o</w:t>
      </w:r>
      <w:r>
        <w:rPr>
          <w:rFonts w:cs="Calibri"/>
        </w:rPr>
        <w:t>f foreign sources in the interpreta</w:t>
      </w:r>
      <w:r>
        <w:t xml:space="preserve">tion of constitutional law has proven to be controversial in South Africa as well. This is hardly surprising: one of the key problems of this exercise is how to select the pertinent </w:t>
      </w:r>
      <w:r>
        <w:rPr>
          <w:rFonts w:cs="Calibri"/>
        </w:rPr>
        <w:t>material, and to decide what use of the</w:t>
      </w:r>
      <w:r>
        <w:rPr>
          <w:rFonts w:cs="Calibri"/>
        </w:rPr>
        <w:t>m is appropriate, beyond a mere show of erudi</w:t>
      </w:r>
      <w:r>
        <w:t>tion.</w:t>
      </w:r>
    </w:p>
    <w:p w:rsidR="00441B30" w:rsidRDefault="00C96797">
      <w:pPr>
        <w:spacing w:after="193" w:line="327" w:lineRule="auto"/>
        <w:ind w:left="-5"/>
      </w:pPr>
      <w:r>
        <w:rPr>
          <w:rFonts w:cs="Calibri"/>
        </w:rPr>
        <w:t>In a major study, Ran Hirschl notices that ‘comparative constitutional law scholarship of</w:t>
      </w:r>
      <w:r>
        <w:t xml:space="preserve">ten overlooks (or is unaware of) the methodological principles of controlled comparison, </w:t>
      </w:r>
      <w:r>
        <w:rPr>
          <w:rFonts w:cs="Calibri"/>
        </w:rPr>
        <w:t>research design, and case s</w:t>
      </w:r>
      <w:r>
        <w:rPr>
          <w:rFonts w:cs="Calibri"/>
        </w:rPr>
        <w:t xml:space="preserve">election deployed in the human sciences’, and sets out a </w:t>
      </w:r>
      <w:r>
        <w:t>range of proposals to improve upon the current situation.</w:t>
      </w:r>
      <w:r>
        <w:rPr>
          <w:vertAlign w:val="superscript"/>
        </w:rPr>
        <w:t>51</w:t>
      </w:r>
      <w:r>
        <w:rPr>
          <w:rFonts w:cs="Calibri"/>
        </w:rPr>
        <w:t xml:space="preserve"> </w:t>
      </w:r>
      <w:r>
        <w:t xml:space="preserve">Until a rigorous approach is </w:t>
      </w:r>
      <w:r>
        <w:rPr>
          <w:rFonts w:cs="Calibri"/>
        </w:rPr>
        <w:t xml:space="preserve">adopted, looking at other constitutions while interpreting one’s own will meet with some criticism. An answer </w:t>
      </w:r>
      <w:r>
        <w:rPr>
          <w:rFonts w:cs="Calibri"/>
        </w:rPr>
        <w:t>to this criticism could be to develop a typology of constitutional ex</w:t>
      </w:r>
      <w:r>
        <w:t xml:space="preserve">periences that shows how to correct unbridled, uprooted cosmopolitanism with a form of rooted cosmopolitanism, as Bruce Ackerman suggests to do in his forthcoming book on </w:t>
      </w:r>
      <w:r>
        <w:rPr>
          <w:rFonts w:cs="Calibri"/>
        </w:rPr>
        <w:t>world constituti</w:t>
      </w:r>
      <w:r>
        <w:rPr>
          <w:rFonts w:cs="Calibri"/>
        </w:rPr>
        <w:t>onalism. Still, in most countries, a ‘decent respect for the opinions of human kind’ is a cornerstone of contemporary constitutional law.</w:t>
      </w:r>
      <w:r>
        <w:rPr>
          <w:vertAlign w:val="superscript"/>
        </w:rPr>
        <w:t>52</w:t>
      </w:r>
    </w:p>
    <w:p w:rsidR="00441B30" w:rsidRDefault="00C96797">
      <w:pPr>
        <w:pStyle w:val="Heading1"/>
        <w:ind w:left="-5"/>
      </w:pPr>
      <w:r>
        <w:t>IV.</w:t>
      </w:r>
      <w:r>
        <w:t xml:space="preserve"> </w:t>
      </w:r>
      <w:r>
        <w:t>Global Governance as a Source of Legal Transplants</w:t>
      </w:r>
    </w:p>
    <w:p w:rsidR="00441B30" w:rsidRDefault="00C96797">
      <w:pPr>
        <w:ind w:left="-5"/>
      </w:pPr>
      <w:r>
        <w:rPr>
          <w:rFonts w:cs="Calibri"/>
          <w:noProof/>
          <w:sz w:val="22"/>
        </w:rPr>
        <mc:AlternateContent>
          <mc:Choice Requires="wpg">
            <w:drawing>
              <wp:anchor distT="0" distB="0" distL="114300" distR="114300" simplePos="0" relativeHeight="251671552" behindDoc="0" locked="0" layoutInCell="1" allowOverlap="1">
                <wp:simplePos x="0" y="0"/>
                <wp:positionH relativeFrom="column">
                  <wp:posOffset>1092962</wp:posOffset>
                </wp:positionH>
                <wp:positionV relativeFrom="paragraph">
                  <wp:posOffset>1004777</wp:posOffset>
                </wp:positionV>
                <wp:extent cx="436626" cy="142875"/>
                <wp:effectExtent l="0" t="0" r="0" b="0"/>
                <wp:wrapNone/>
                <wp:docPr id="48473" name="Group 48473"/>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626" name="Shape 4626"/>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8473" style="width:34.38pt;height:11.25pt;position:absolute;z-index:43;mso-position-horizontal-relative:text;mso-position-horizontal:absolute;margin-left:86.06pt;mso-position-vertical-relative:text;margin-top:79.1163pt;" coordsize="4366,1428">
                <v:shape id="Shape 4626"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t xml:space="preserve">Much of the literature on legal transplants concentrates on </w:t>
      </w:r>
      <w:r>
        <w:t xml:space="preserve">direct state to state transfers </w:t>
      </w:r>
      <w:r>
        <w:rPr>
          <w:rFonts w:cs="Calibri"/>
        </w:rPr>
        <w:t>of law. States are clearly at centre stage when they contract for the introduction of specif</w:t>
      </w:r>
      <w:r>
        <w:t xml:space="preserve">ic regimes. US law on investment protection, for example, was introduced in several </w:t>
      </w:r>
      <w:r>
        <w:rPr>
          <w:rFonts w:cs="Calibri"/>
        </w:rPr>
        <w:t>countries via free trade agreements, offering th</w:t>
      </w:r>
      <w:r>
        <w:rPr>
          <w:rFonts w:cs="Calibri"/>
        </w:rPr>
        <w:t>e prospect of greater access to the Ameri</w:t>
      </w:r>
      <w:r>
        <w:t>can market in exchange for adopting US-style investor protection rules.</w:t>
      </w:r>
      <w:r>
        <w:rPr>
          <w:vertAlign w:val="superscript"/>
        </w:rPr>
        <w:t>53</w:t>
      </w:r>
      <w:r>
        <w:rPr>
          <w:rFonts w:cs="Calibri"/>
        </w:rPr>
        <w:t xml:space="preserve"> </w:t>
      </w:r>
      <w:r>
        <w:t>Yet, this model has never been</w:t>
      </w:r>
      <w:r>
        <w:rPr>
          <w:rFonts w:cs="Calibri"/>
        </w:rPr>
        <w:t xml:space="preserve"> </w:t>
      </w:r>
      <w:r>
        <w:rPr>
          <w:rFonts w:cs="Calibri"/>
          <w:color w:val="666666"/>
          <w:sz w:val="14"/>
        </w:rPr>
        <w:t xml:space="preserve">(p. 455) </w:t>
      </w:r>
      <w:r>
        <w:t xml:space="preserve">adequate to understand other phenomena, such as the reception </w:t>
      </w:r>
      <w:r>
        <w:rPr>
          <w:rFonts w:cs="Calibri"/>
        </w:rPr>
        <w:t>and the adaptation of foreign ideas, concepts, and rules through the study of foreign experiences by legal scholars, or through the diffusion of new business practices on mar</w:t>
      </w:r>
      <w:r>
        <w:t xml:space="preserve">kets. As a theoretical framework, the statist model of legal transplants has been </w:t>
      </w:r>
      <w:r>
        <w:t xml:space="preserve">rendered even more inadequate in recent decades because of the ongoing redefinition of the role of </w:t>
      </w:r>
      <w:r>
        <w:rPr>
          <w:rFonts w:cs="Calibri"/>
        </w:rPr>
        <w:t>the state as a consequence of globalisation and the rise of the regulatory state. New glob</w:t>
      </w:r>
      <w:r>
        <w:t>al governance structures and networks of actors have transformed th</w:t>
      </w:r>
      <w:r>
        <w:t>e dynamics of legal transfers both at the regional and the global level. The literature on legal transplants is paying increasing attention to this new landscape.</w:t>
      </w:r>
    </w:p>
    <w:p w:rsidR="00441B30" w:rsidRDefault="00C96797">
      <w:pPr>
        <w:ind w:left="-5"/>
      </w:pPr>
      <w:r>
        <w:t>A rough estimate of institutions that are active at the global level to promote various goals</w:t>
      </w:r>
      <w:r>
        <w:t xml:space="preserve"> and missions has identified about 2,000 international regulatory regimes.</w:t>
      </w:r>
      <w:r>
        <w:rPr>
          <w:vertAlign w:val="superscript"/>
        </w:rPr>
        <w:t>54</w:t>
      </w:r>
      <w:r>
        <w:rPr>
          <w:rFonts w:cs="Calibri"/>
        </w:rPr>
        <w:t xml:space="preserve"> </w:t>
      </w:r>
      <w:r>
        <w:t xml:space="preserve">Many of these institutions are formidable norm entrepreneurs. Some of them, like UNIDROIT, have as their mission the unification of law at the world level with </w:t>
      </w:r>
      <w:r>
        <w:lastRenderedPageBreak/>
        <w:t>respect to particul</w:t>
      </w:r>
      <w:r>
        <w:t>ar sectors. For example, to understand why and how international commercial arbitration has spread, it is necessary to know the activities of UNCITRAL and of the International Chamber of Commerce. In a similar vein, to adequately address health or environm</w:t>
      </w:r>
      <w:r>
        <w:t>ental law across the world one needs to have regard to the international regimes that by now constitute the overarching framework of every national regulation. Among these global players, the World Bank and the IMF are responsible for programs involving le</w:t>
      </w:r>
      <w:r>
        <w:t xml:space="preserve">gal change </w:t>
      </w:r>
      <w:r>
        <w:rPr>
          <w:rFonts w:cs="Calibri"/>
        </w:rPr>
        <w:t>on a massive scale. Financial markets law is shaped by the work of international organ</w:t>
      </w:r>
      <w:r>
        <w:t xml:space="preserve">isms such as the International Organisation of Securities Commissions (IOSCO). These </w:t>
      </w:r>
      <w:r>
        <w:rPr>
          <w:rFonts w:cs="Calibri"/>
        </w:rPr>
        <w:t>are just some of many examples that show how the diffusion of legal models</w:t>
      </w:r>
      <w:r>
        <w:rPr>
          <w:rFonts w:cs="Calibri"/>
        </w:rPr>
        <w:t xml:space="preserve"> can be coordinated at the world level. Transnational private regulatory regimes, supported by con</w:t>
      </w:r>
      <w:r>
        <w:t>tract or company law, also provide new sets of binding rules that work across national boundaries to bring about more uniformity across markets with respect t</w:t>
      </w:r>
      <w:r>
        <w:t>o technical rules, methods of production and distribution, risk-control regimes, and so on.</w:t>
      </w:r>
      <w:r>
        <w:rPr>
          <w:vertAlign w:val="superscript"/>
        </w:rPr>
        <w:t>55</w:t>
      </w:r>
      <w:r>
        <w:rPr>
          <w:rFonts w:cs="Calibri"/>
        </w:rPr>
        <w:t xml:space="preserve"> Global net</w:t>
      </w:r>
      <w:r>
        <w:t xml:space="preserve">works of activists play a role in this respect too, by advancing campaigns that promote </w:t>
      </w:r>
      <w:r>
        <w:rPr>
          <w:rFonts w:cs="Calibri"/>
        </w:rPr>
        <w:t>human rights, LGBT’s rights, a greener economy, etc.</w:t>
      </w:r>
      <w:r>
        <w:rPr>
          <w:vertAlign w:val="superscript"/>
        </w:rPr>
        <w:t>56</w:t>
      </w:r>
      <w:r>
        <w:rPr>
          <w:rFonts w:cs="Calibri"/>
        </w:rPr>
        <w:t xml:space="preserve"> </w:t>
      </w:r>
      <w:r>
        <w:t>Today, th</w:t>
      </w:r>
      <w:r>
        <w:t>e role played by non-</w:t>
      </w:r>
      <w:r>
        <w:rPr>
          <w:rFonts w:cs="Calibri"/>
        </w:rPr>
        <w:t xml:space="preserve"> </w:t>
      </w:r>
      <w:r>
        <w:t xml:space="preserve">binding tools to induce legal change across jurisdictions is remarkable. One interesting example in this respect is recourse to indicators to assess how states perform in various </w:t>
      </w:r>
      <w:r>
        <w:rPr>
          <w:rFonts w:cs="Calibri"/>
        </w:rPr>
        <w:t>fields, from human rights to corruption and the establi</w:t>
      </w:r>
      <w:r>
        <w:rPr>
          <w:rFonts w:cs="Calibri"/>
        </w:rPr>
        <w:t>shment of business friendly environments. Benchmarking and measurement thus become a part of the governance tech</w:t>
      </w:r>
      <w:r>
        <w:t>niques that contribute to the alignment of legal regimes across jurisdictions.</w:t>
      </w:r>
      <w:r>
        <w:rPr>
          <w:vertAlign w:val="superscript"/>
        </w:rPr>
        <w:t>57</w:t>
      </w:r>
    </w:p>
    <w:p w:rsidR="00441B30" w:rsidRDefault="00C96797">
      <w:pPr>
        <w:spacing w:after="612"/>
        <w:ind w:left="-15" w:firstLine="135"/>
      </w:pPr>
      <w:r>
        <w:rPr>
          <w:rFonts w:cs="Calibri"/>
          <w:noProof/>
          <w:sz w:val="22"/>
        </w:rPr>
        <mc:AlternateContent>
          <mc:Choice Requires="wpg">
            <w:drawing>
              <wp:anchor distT="0" distB="0" distL="114300" distR="114300" simplePos="0" relativeHeight="251672576" behindDoc="0" locked="0" layoutInCell="1" allowOverlap="1">
                <wp:simplePos x="0" y="0"/>
                <wp:positionH relativeFrom="column">
                  <wp:posOffset>28575</wp:posOffset>
                </wp:positionH>
                <wp:positionV relativeFrom="paragraph">
                  <wp:posOffset>3222</wp:posOffset>
                </wp:positionV>
                <wp:extent cx="436626" cy="142875"/>
                <wp:effectExtent l="0" t="0" r="0" b="0"/>
                <wp:wrapNone/>
                <wp:docPr id="47600" name="Group 47600"/>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718" name="Shape 4718"/>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7600" style="width:34.38pt;height:11.25pt;position:absolute;z-index:29;mso-position-horizontal-relative:text;mso-position-horizontal:absolute;margin-left:2.25pt;mso-position-vertical-relative:text;margin-top:0.253708pt;" coordsize="4366,1428">
                <v:shape id="Shape 4718"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color w:val="666666"/>
          <w:sz w:val="14"/>
        </w:rPr>
        <w:t xml:space="preserve">(p. 456) </w:t>
      </w:r>
      <w:r>
        <w:rPr>
          <w:rFonts w:cs="Calibri"/>
        </w:rPr>
        <w:t>All these inputs do not respond to a single logic. So</w:t>
      </w:r>
      <w:r>
        <w:rPr>
          <w:rFonts w:cs="Calibri"/>
        </w:rPr>
        <w:t>me of them are top down, ver</w:t>
      </w:r>
      <w:r>
        <w:t xml:space="preserve">tical mechanisms for securing states compliance with international norms. Others are </w:t>
      </w:r>
      <w:r>
        <w:rPr>
          <w:rFonts w:cs="Calibri"/>
        </w:rPr>
        <w:t>horizontal, market-led initiatives that target firms as economic actors. Still others are bot</w:t>
      </w:r>
      <w:r>
        <w:t>tom up, grass-root initiatives that rely on networ</w:t>
      </w:r>
      <w:r>
        <w:t>king and mobilisation to advance civic causes. In one way or another, they all contribute to adding new dimensions to the study of the transfer of laws (and related policies) across the globe, often responding to crises or problems that have a true transna</w:t>
      </w:r>
      <w:r>
        <w:t>tional dimension.</w:t>
      </w:r>
    </w:p>
    <w:p w:rsidR="00441B30" w:rsidRDefault="00C96797">
      <w:pPr>
        <w:pStyle w:val="Heading1"/>
        <w:ind w:left="-5"/>
      </w:pPr>
      <w:r>
        <w:t>V.</w:t>
      </w:r>
      <w:r>
        <w:t xml:space="preserve"> </w:t>
      </w:r>
      <w:r>
        <w:t>Legal Transplants, Language Contact, and Legal Translation</w:t>
      </w:r>
    </w:p>
    <w:p w:rsidR="00441B30" w:rsidRDefault="00C96797">
      <w:pPr>
        <w:ind w:left="-5"/>
      </w:pPr>
      <w:r>
        <w:rPr>
          <w:rFonts w:cs="Calibri"/>
          <w:noProof/>
          <w:sz w:val="22"/>
        </w:rPr>
        <mc:AlternateContent>
          <mc:Choice Requires="wpg">
            <w:drawing>
              <wp:anchor distT="0" distB="0" distL="114300" distR="114300" simplePos="0" relativeHeight="251673600" behindDoc="0" locked="0" layoutInCell="1" allowOverlap="1">
                <wp:simplePos x="0" y="0"/>
                <wp:positionH relativeFrom="column">
                  <wp:posOffset>1884553</wp:posOffset>
                </wp:positionH>
                <wp:positionV relativeFrom="paragraph">
                  <wp:posOffset>3805216</wp:posOffset>
                </wp:positionV>
                <wp:extent cx="436626" cy="142875"/>
                <wp:effectExtent l="0" t="0" r="0" b="0"/>
                <wp:wrapNone/>
                <wp:docPr id="47601" name="Group 47601"/>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765" name="Shape 4765"/>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7601" style="width:34.38pt;height:11.25pt;position:absolute;z-index:76;mso-position-horizontal-relative:text;mso-position-horizontal:absolute;margin-left:148.39pt;mso-position-vertical-relative:text;margin-top:299.623pt;" coordsize="4366,1428">
                <v:shape id="Shape 4765"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rPr>
          <w:rFonts w:cs="Calibri"/>
        </w:rPr>
        <w:t xml:space="preserve">Much law is entrusted to language, whether written or not, but much of it—even today— is not. It may be expressed through non-verbal symbols—images, for example—or remain </w:t>
      </w:r>
      <w:r>
        <w:t>impl</w:t>
      </w:r>
      <w:r>
        <w:t>icit, and to be inferred from conduct. One of the major problems that legal transfers raise is how communication takes place through (radically) different linguistic means and in different cultural contexts. The transfer of law across linguistic borders is</w:t>
      </w:r>
      <w:r>
        <w:t xml:space="preserve"> inextricably bound up with massive translation efforts. They often lead to the introduction of a new vocabulary and concepts. Thus, the accession of several Central and Eastern European </w:t>
      </w:r>
      <w:r>
        <w:rPr>
          <w:rFonts w:cs="Calibri"/>
        </w:rPr>
        <w:t>states to the EU required the translation of the EU acquis into Slavi</w:t>
      </w:r>
      <w:r>
        <w:rPr>
          <w:rFonts w:cs="Calibri"/>
        </w:rPr>
        <w:t>c languages, a formidable challenge in its own right. Eventually a new terminology was coined and these lan</w:t>
      </w:r>
      <w:r>
        <w:t>guages were correspondingly enriched.</w:t>
      </w:r>
      <w:r>
        <w:rPr>
          <w:vertAlign w:val="superscript"/>
        </w:rPr>
        <w:t>58</w:t>
      </w:r>
      <w:r>
        <w:rPr>
          <w:rFonts w:cs="Calibri"/>
        </w:rPr>
        <w:t xml:space="preserve"> </w:t>
      </w:r>
      <w:r>
        <w:t xml:space="preserve">The crucial question then, is how to work </w:t>
      </w:r>
      <w:r>
        <w:rPr>
          <w:rFonts w:cs="Calibri"/>
        </w:rPr>
        <w:t>through languages to ensure that they express a certain normative c</w:t>
      </w:r>
      <w:r>
        <w:rPr>
          <w:rFonts w:cs="Calibri"/>
        </w:rPr>
        <w:t>ontent? Much de</w:t>
      </w:r>
      <w:r>
        <w:t>pends on what linguistic and conceptual resources are available or can be conjured up for this purpose. The first translations of the US Declaration on Independence into Japanese or Chinese surely posed some difficult problems in this respec</w:t>
      </w:r>
      <w:r>
        <w:t>t.</w:t>
      </w:r>
      <w:r>
        <w:rPr>
          <w:vertAlign w:val="superscript"/>
        </w:rPr>
        <w:t>59</w:t>
      </w:r>
      <w:r>
        <w:rPr>
          <w:rFonts w:cs="Calibri"/>
        </w:rPr>
        <w:t xml:space="preserve"> </w:t>
      </w:r>
      <w:r>
        <w:t xml:space="preserve">Today, the translation of </w:t>
      </w:r>
      <w:r>
        <w:rPr>
          <w:rFonts w:cs="Calibri"/>
        </w:rPr>
        <w:t>human rights norms into the local vernacular is a good example of the problems associat</w:t>
      </w:r>
      <w:r>
        <w:t>ed with the exercise.</w:t>
      </w:r>
      <w:r>
        <w:rPr>
          <w:vertAlign w:val="superscript"/>
        </w:rPr>
        <w:t>60</w:t>
      </w:r>
      <w:r>
        <w:rPr>
          <w:rFonts w:cs="Calibri"/>
        </w:rPr>
        <w:t xml:space="preserve"> </w:t>
      </w:r>
      <w:r>
        <w:t xml:space="preserve">The turn towards a Westernized legal system as a rule involves a great deal of linguistic innovation, not just to </w:t>
      </w:r>
      <w:r>
        <w:t>cover the more technical aspects of the law, but also to capture its intellectual context, as far as possible.</w:t>
      </w:r>
      <w:r>
        <w:rPr>
          <w:vertAlign w:val="superscript"/>
        </w:rPr>
        <w:t>61</w:t>
      </w:r>
      <w:r>
        <w:rPr>
          <w:rFonts w:cs="Calibri"/>
        </w:rPr>
        <w:t xml:space="preserve"> </w:t>
      </w:r>
      <w:r>
        <w:t xml:space="preserve">A specialized literature </w:t>
      </w:r>
      <w:r>
        <w:rPr>
          <w:rFonts w:cs="Calibri"/>
        </w:rPr>
        <w:t xml:space="preserve">dealing with legal translation and language </w:t>
      </w:r>
      <w:r>
        <w:rPr>
          <w:rFonts w:cs="Calibri"/>
        </w:rPr>
        <w:lastRenderedPageBreak/>
        <w:t>contact, by now consisting of hundreds of ti</w:t>
      </w:r>
      <w:r>
        <w:t>tles, is exploring these and</w:t>
      </w:r>
      <w:r>
        <w:rPr>
          <w:rFonts w:cs="Calibri"/>
        </w:rPr>
        <w:t xml:space="preserve"> </w:t>
      </w:r>
      <w:r>
        <w:rPr>
          <w:rFonts w:cs="Calibri"/>
          <w:color w:val="666666"/>
          <w:sz w:val="14"/>
        </w:rPr>
        <w:t>(</w:t>
      </w:r>
      <w:r>
        <w:rPr>
          <w:rFonts w:cs="Calibri"/>
          <w:color w:val="666666"/>
          <w:sz w:val="14"/>
        </w:rPr>
        <w:t xml:space="preserve">p. 457) </w:t>
      </w:r>
      <w:r>
        <w:t>other themes concerning the relations between legal transfers, language contacts, translations, and language change. The function of this short section is simply to alert the reader to its crucial importance with respect to the study of legal trans</w:t>
      </w:r>
      <w:r>
        <w:t>plants as well.</w:t>
      </w:r>
    </w:p>
    <w:p w:rsidR="00441B30" w:rsidRDefault="00C96797">
      <w:pPr>
        <w:spacing w:after="631" w:line="327" w:lineRule="auto"/>
        <w:ind w:left="-5"/>
      </w:pPr>
      <w:r>
        <w:rPr>
          <w:rFonts w:cs="Calibri"/>
        </w:rPr>
        <w:t>It has been argued that legal transplants cannot succeed because ‘at best, what can be transferred from one jurisdiction to another is, literally, a meaningless form of words’.</w:t>
      </w:r>
      <w:r>
        <w:rPr>
          <w:vertAlign w:val="superscript"/>
        </w:rPr>
        <w:t>62</w:t>
      </w:r>
      <w:r>
        <w:rPr>
          <w:rFonts w:cs="Calibri"/>
          <w:vertAlign w:val="superscript"/>
        </w:rPr>
        <w:t xml:space="preserve"> </w:t>
      </w:r>
      <w:r>
        <w:t>The question whether the linguistic match is possible, or more or less satisf</w:t>
      </w:r>
      <w:r>
        <w:t xml:space="preserve">actory, is </w:t>
      </w:r>
      <w:r>
        <w:rPr>
          <w:rFonts w:cs="Calibri"/>
        </w:rPr>
        <w:t>clearly open to debate in all these contexts. But the transfer of ‘a meaningless form of words’ is neither a figment of the imagination nor an odd joke. It is a fact that calls for attention to the need to find out how language contact, word for</w:t>
      </w:r>
      <w:r>
        <w:rPr>
          <w:rFonts w:cs="Calibri"/>
        </w:rPr>
        <w:t>mation, styles of communi</w:t>
      </w:r>
      <w:r>
        <w:t xml:space="preserve">cation, and translation operate in the transformation or the making of a legal culture. </w:t>
      </w:r>
      <w:r>
        <w:rPr>
          <w:rFonts w:cs="Calibri"/>
        </w:rPr>
        <w:t>That meaningless form of words, namely an example of heteroglossia, is profoundly implicated in the project of an imagined future that is shape</w:t>
      </w:r>
      <w:r>
        <w:rPr>
          <w:rFonts w:cs="Calibri"/>
        </w:rPr>
        <w:t>d through the imposition or the ap</w:t>
      </w:r>
      <w:r>
        <w:t>propriation of the foreign.</w:t>
      </w:r>
      <w:r>
        <w:rPr>
          <w:vertAlign w:val="superscript"/>
        </w:rPr>
        <w:t>63</w:t>
      </w:r>
      <w:r>
        <w:rPr>
          <w:rFonts w:cs="Calibri"/>
        </w:rPr>
        <w:t xml:space="preserve"> </w:t>
      </w:r>
      <w:r>
        <w:t xml:space="preserve">Unfortunately, as Ralf Michaels notes commenting on these </w:t>
      </w:r>
      <w:r>
        <w:rPr>
          <w:rFonts w:cs="Calibri"/>
        </w:rPr>
        <w:t>issues, the power of the form is missed by most contemporary legal scholarship as a con</w:t>
      </w:r>
      <w:r>
        <w:t>sequence of its anti-formalistic posture.</w:t>
      </w:r>
      <w:r>
        <w:rPr>
          <w:vertAlign w:val="superscript"/>
        </w:rPr>
        <w:t>64</w:t>
      </w:r>
      <w:r>
        <w:rPr>
          <w:rFonts w:cs="Calibri"/>
        </w:rPr>
        <w:t xml:space="preserve"> </w:t>
      </w:r>
      <w:r>
        <w:t xml:space="preserve">I have argued elsewhere that the concept of mediated action, that is action relying on cultural tools to achieve its ends, may help to </w:t>
      </w:r>
      <w:r>
        <w:rPr>
          <w:rFonts w:cs="Calibri"/>
        </w:rPr>
        <w:t>understand how texts—even foreign texts—turn out to be formidable instruments in de</w:t>
      </w:r>
      <w:r>
        <w:t>veloping and fixing new laws and new n</w:t>
      </w:r>
      <w:r>
        <w:t>ormative practices.</w:t>
      </w:r>
      <w:r>
        <w:rPr>
          <w:vertAlign w:val="superscript"/>
        </w:rPr>
        <w:t>65</w:t>
      </w:r>
    </w:p>
    <w:p w:rsidR="00441B30" w:rsidRDefault="00C96797">
      <w:pPr>
        <w:pStyle w:val="Heading1"/>
        <w:ind w:left="-5"/>
      </w:pPr>
      <w:r>
        <w:t>VI.</w:t>
      </w:r>
      <w:r>
        <w:t xml:space="preserve"> </w:t>
      </w:r>
      <w:r>
        <w:t>Factors of Change</w:t>
      </w:r>
    </w:p>
    <w:p w:rsidR="00441B30" w:rsidRDefault="00C96797">
      <w:pPr>
        <w:ind w:left="-5"/>
      </w:pPr>
      <w:r>
        <w:rPr>
          <w:rFonts w:cs="Calibri"/>
          <w:noProof/>
          <w:sz w:val="22"/>
        </w:rPr>
        <mc:AlternateContent>
          <mc:Choice Requires="wpg">
            <w:drawing>
              <wp:anchor distT="0" distB="0" distL="114300" distR="114300" simplePos="0" relativeHeight="251674624" behindDoc="0" locked="0" layoutInCell="1" allowOverlap="1">
                <wp:simplePos x="0" y="0"/>
                <wp:positionH relativeFrom="column">
                  <wp:posOffset>827913</wp:posOffset>
                </wp:positionH>
                <wp:positionV relativeFrom="paragraph">
                  <wp:posOffset>1204802</wp:posOffset>
                </wp:positionV>
                <wp:extent cx="436626" cy="142875"/>
                <wp:effectExtent l="0" t="0" r="0" b="0"/>
                <wp:wrapNone/>
                <wp:docPr id="47742" name="Group 47742"/>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857" name="Shape 4857"/>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7742" style="width:34.38pt;height:11.25pt;position:absolute;z-index:57;mso-position-horizontal-relative:text;mso-position-horizontal:absolute;margin-left:65.19pt;mso-position-vertical-relative:text;margin-top:94.8663pt;" coordsize="4366,1428">
                <v:shape id="Shape 4857"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t>Legal change is caused by a variety of factors which often concur to produce a particular outcome. Historically, the migration of a population, or a foreign presence in the country, has often been at the root of</w:t>
      </w:r>
      <w:r>
        <w:t xml:space="preserve"> legal transfers; so has the need to accommodate a foreign set of rules in a legal system.</w:t>
      </w:r>
      <w:r>
        <w:rPr>
          <w:vertAlign w:val="superscript"/>
        </w:rPr>
        <w:t>66</w:t>
      </w:r>
      <w:r>
        <w:rPr>
          <w:rFonts w:cs="Calibri"/>
        </w:rPr>
        <w:t xml:space="preserve"> </w:t>
      </w:r>
      <w:r>
        <w:t xml:space="preserve">Political decisions influence law making and sometimes </w:t>
      </w:r>
      <w:r>
        <w:rPr>
          <w:rFonts w:cs="Calibri"/>
        </w:rPr>
        <w:t>lead to transplants or receptions. Religious, moral, or philosophical influences have pro</w:t>
      </w:r>
      <w:r>
        <w:t>duced changes acros</w:t>
      </w:r>
      <w:r>
        <w:t>s vast geographical areas. Technological change may lead to the adoption of</w:t>
      </w:r>
      <w:r>
        <w:rPr>
          <w:rFonts w:cs="Calibri"/>
        </w:rPr>
        <w:t xml:space="preserve"> </w:t>
      </w:r>
      <w:r>
        <w:rPr>
          <w:rFonts w:cs="Calibri"/>
          <w:color w:val="666666"/>
          <w:sz w:val="14"/>
        </w:rPr>
        <w:t xml:space="preserve">(p. 458) </w:t>
      </w:r>
      <w:r>
        <w:t xml:space="preserve">similar laws in different countries, or at least to an examination of how to respond to similar conflicts here and there (consider the response of various legal </w:t>
      </w:r>
      <w:r>
        <w:rPr>
          <w:rFonts w:cs="Calibri"/>
        </w:rPr>
        <w:t>systems to</w:t>
      </w:r>
      <w:r>
        <w:rPr>
          <w:rFonts w:cs="Calibri"/>
        </w:rPr>
        <w:t xml:space="preserve"> the new services introduced by the transportation platform Uber). Comparative law itself is sometimes involved in the transformation of the legal system. The abundant literature on the use of comparative law by legislatures and courts shows this possi</w:t>
      </w:r>
      <w:r>
        <w:t>bili</w:t>
      </w:r>
      <w:r>
        <w:t>ty, though legal change inspired by the example of foreign models is seldom carried out on the basis of in-depth comparative legal studies. Lack of resources, time pressure, or sheer neglect often lead to transplants that are not prepared by careful studie</w:t>
      </w:r>
      <w:r>
        <w:t>s.</w:t>
      </w:r>
    </w:p>
    <w:p w:rsidR="00441B30" w:rsidRDefault="00C96797">
      <w:pPr>
        <w:spacing w:after="246"/>
        <w:ind w:left="-5"/>
      </w:pPr>
      <w:r>
        <w:t xml:space="preserve">As mentioned earlier, in the last decades, the production of uniform or harmonized legal </w:t>
      </w:r>
      <w:r>
        <w:rPr>
          <w:rFonts w:cs="Calibri"/>
        </w:rPr>
        <w:t>norms at the international level has become a major force for stimulating legal trans</w:t>
      </w:r>
      <w:r>
        <w:t>plants across the world. Many public and private initiatives target specific ge</w:t>
      </w:r>
      <w:r>
        <w:t>ographical areas or sectors.</w:t>
      </w:r>
      <w:r>
        <w:rPr>
          <w:vertAlign w:val="superscript"/>
        </w:rPr>
        <w:t>67</w:t>
      </w:r>
      <w:r>
        <w:rPr>
          <w:rFonts w:cs="Calibri"/>
        </w:rPr>
        <w:t xml:space="preserve"> </w:t>
      </w:r>
      <w:r>
        <w:t xml:space="preserve">Projects of regional integration often involve the massive enactment of uniform or harmonized law, as is the case in the European Union. Although this is not </w:t>
      </w:r>
      <w:r>
        <w:rPr>
          <w:rFonts w:cs="Calibri"/>
        </w:rPr>
        <w:t>usually observed through the lenses of ‘legal transplants’, some of</w:t>
      </w:r>
      <w:r>
        <w:rPr>
          <w:rFonts w:cs="Calibri"/>
        </w:rPr>
        <w:t xml:space="preserve"> the problems that are discussed with respect to the enactment and implementation of EU law, or more generally of uniform or harmonized norms, reflect the same concerns that often emerge with re</w:t>
      </w:r>
      <w:r>
        <w:t>spect to legal transplants.</w:t>
      </w:r>
      <w:r>
        <w:rPr>
          <w:vertAlign w:val="superscript"/>
        </w:rPr>
        <w:t>68</w:t>
      </w:r>
    </w:p>
    <w:p w:rsidR="00441B30" w:rsidRDefault="00C96797">
      <w:pPr>
        <w:ind w:left="-5"/>
      </w:pPr>
      <w:r>
        <w:rPr>
          <w:rFonts w:cs="Calibri"/>
        </w:rPr>
        <w:lastRenderedPageBreak/>
        <w:t>Confronted with the problem of u</w:t>
      </w:r>
      <w:r>
        <w:rPr>
          <w:rFonts w:cs="Calibri"/>
        </w:rPr>
        <w:t>nderstanding legal change, comparative law pays atten</w:t>
      </w:r>
      <w:r>
        <w:t xml:space="preserve">tion to these factors and initiatives. For example, comparative legal study is sometimes </w:t>
      </w:r>
      <w:r>
        <w:rPr>
          <w:rFonts w:cs="Calibri"/>
        </w:rPr>
        <w:t>employed to gauge how much uniformity or harmonization is actually achieved by enact</w:t>
      </w:r>
      <w:r>
        <w:t>ing uniform or harmonized norm</w:t>
      </w:r>
      <w:r>
        <w:t>s, or to construe the draft instruments to begin with. So far, however, comparative legal scholarship has generally refrained from systematically asking whether and how other academic disciplines actively pursue studies that intersect with the field of leg</w:t>
      </w:r>
      <w:r>
        <w:t xml:space="preserve">al transfers and can thus cast light on them. It should be clear, e.g., </w:t>
      </w:r>
      <w:r>
        <w:rPr>
          <w:rFonts w:cs="Calibri"/>
        </w:rPr>
        <w:t>that the study of economics, political science, and anthropology stand out as promising al</w:t>
      </w:r>
      <w:r>
        <w:t>lies in the enterprise. Psychology, neurobiology, etology, and linguistics in turn can deliver</w:t>
      </w:r>
      <w:r>
        <w:t xml:space="preserve"> </w:t>
      </w:r>
      <w:r>
        <w:rPr>
          <w:rFonts w:cs="Calibri"/>
        </w:rPr>
        <w:t>fundamental clarifications about cognition, imitation, improvization. emulation, adaptative learning, and language contacts and translation—matters that are vital to an under</w:t>
      </w:r>
      <w:r>
        <w:t>standing of the bases and the dynamics of cultural diffusion.</w:t>
      </w:r>
    </w:p>
    <w:p w:rsidR="00441B30" w:rsidRDefault="00C96797">
      <w:pPr>
        <w:spacing w:after="327"/>
        <w:ind w:left="-5"/>
      </w:pPr>
      <w:r>
        <w:t>The following pages</w:t>
      </w:r>
      <w:r>
        <w:t xml:space="preserve"> discuss four factors of legal change that feature prominently in the analysis of these phenomena. These are: imposition of law through violence in one form or another; change produced by the desire to follow prestigious models; reform initiatives </w:t>
      </w:r>
      <w:r>
        <w:rPr>
          <w:rFonts w:cs="Calibri"/>
        </w:rPr>
        <w:t>that aim</w:t>
      </w:r>
      <w:r>
        <w:rPr>
          <w:rFonts w:cs="Calibri"/>
        </w:rPr>
        <w:t xml:space="preserve"> to improve economic performance, and the role of politics in the making of trans</w:t>
      </w:r>
      <w:r>
        <w:t>plants.</w:t>
      </w:r>
    </w:p>
    <w:p w:rsidR="00441B30" w:rsidRDefault="00C96797">
      <w:pPr>
        <w:pStyle w:val="Heading2"/>
        <w:ind w:left="-5"/>
      </w:pPr>
      <w:r>
        <w:t>1.</w:t>
      </w:r>
      <w:r>
        <w:t xml:space="preserve"> </w:t>
      </w:r>
      <w:r>
        <w:t>Imposition</w:t>
      </w:r>
    </w:p>
    <w:p w:rsidR="00441B30" w:rsidRDefault="00C96797">
      <w:pPr>
        <w:spacing w:after="2"/>
        <w:ind w:left="-5"/>
      </w:pPr>
      <w:r>
        <w:t>Transplants and receptions have often been the result of military conquest or expansion. The growth of colonial empires in Africa, the Americas, Asia, an</w:t>
      </w:r>
      <w:r>
        <w:t>d Oceania brought with it the selective importation of Western models, which were the only ones familiar to the</w:t>
      </w:r>
      <w:r>
        <w:rPr>
          <w:rFonts w:cs="Calibri"/>
        </w:rPr>
        <w:t xml:space="preserve"> </w:t>
      </w:r>
    </w:p>
    <w:p w:rsidR="00441B30" w:rsidRDefault="00C96797">
      <w:pPr>
        <w:ind w:left="-15" w:firstLine="135"/>
      </w:pPr>
      <w:r>
        <w:rPr>
          <w:rFonts w:cs="Calibri"/>
          <w:noProof/>
          <w:sz w:val="22"/>
        </w:rPr>
        <mc:AlternateContent>
          <mc:Choice Requires="wpg">
            <w:drawing>
              <wp:anchor distT="0" distB="0" distL="114300" distR="114300" simplePos="0" relativeHeight="251675648" behindDoc="0" locked="0" layoutInCell="1" allowOverlap="1">
                <wp:simplePos x="0" y="0"/>
                <wp:positionH relativeFrom="column">
                  <wp:posOffset>28575</wp:posOffset>
                </wp:positionH>
                <wp:positionV relativeFrom="paragraph">
                  <wp:posOffset>3572</wp:posOffset>
                </wp:positionV>
                <wp:extent cx="436626" cy="142875"/>
                <wp:effectExtent l="0" t="0" r="0" b="0"/>
                <wp:wrapNone/>
                <wp:docPr id="47834" name="Group 47834"/>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4950" name="Shape 4950"/>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7834" style="width:34.38pt;height:11.25pt;position:absolute;z-index:44;mso-position-horizontal-relative:text;mso-position-horizontal:absolute;margin-left:2.25pt;mso-position-vertical-relative:text;margin-top:0.281281pt;" coordsize="4366,1428">
                <v:shape id="Shape 4950"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rPr>
          <w:rFonts w:cs="Calibri"/>
          <w:color w:val="666666"/>
          <w:sz w:val="14"/>
        </w:rPr>
        <w:t xml:space="preserve">(p. 459) </w:t>
      </w:r>
      <w:r>
        <w:t>colonizers.</w:t>
      </w:r>
      <w:r>
        <w:rPr>
          <w:vertAlign w:val="superscript"/>
        </w:rPr>
        <w:t>69</w:t>
      </w:r>
      <w:r>
        <w:rPr>
          <w:rFonts w:cs="Calibri"/>
        </w:rPr>
        <w:t xml:space="preserve"> </w:t>
      </w:r>
      <w:r>
        <w:t>In the Middle Ages, military expansion by Islamic rulers extended the reach of Islamic law. During the twentieth centur</w:t>
      </w:r>
      <w:r>
        <w:t>y, the extension of German law to Austria after the</w:t>
      </w:r>
      <w:r>
        <w:rPr>
          <w:rFonts w:cs="Calibri"/>
        </w:rPr>
        <w:t xml:space="preserve"> </w:t>
      </w:r>
      <w:r>
        <w:rPr>
          <w:rFonts w:cs="Calibri"/>
          <w:i/>
        </w:rPr>
        <w:t>Anschluss</w:t>
      </w:r>
      <w:r>
        <w:rPr>
          <w:rFonts w:cs="Calibri"/>
        </w:rPr>
        <w:t xml:space="preserve"> </w:t>
      </w:r>
      <w:r>
        <w:t>of 1938 is a notable example. The Sovietization of the law in Central and Eastern Europe after World War II is another case in point. Contemporary military operations in different parts of the w</w:t>
      </w:r>
      <w:r>
        <w:t>orld still trigger legal transplants affecting various dimensions of the law.</w:t>
      </w:r>
    </w:p>
    <w:p w:rsidR="00441B30" w:rsidRDefault="00C96797">
      <w:pPr>
        <w:ind w:left="-5"/>
      </w:pPr>
      <w:r>
        <w:t xml:space="preserve">However, the landscape is not uniform. On the one hand, the imposition of foreign legal </w:t>
      </w:r>
      <w:r>
        <w:rPr>
          <w:rFonts w:cs="Calibri"/>
        </w:rPr>
        <w:t>models can be a dramatic but transitory experience. In that case, there is ample opportu</w:t>
      </w:r>
      <w:r>
        <w:t>ni</w:t>
      </w:r>
      <w:r>
        <w:t xml:space="preserve">ty for the ultimate rejection of the model imposed. On the other hand, the imposition of </w:t>
      </w:r>
      <w:r>
        <w:rPr>
          <w:rFonts w:cs="Calibri"/>
        </w:rPr>
        <w:t>foreign law may be backed for substantial periods of time by the political or military con</w:t>
      </w:r>
      <w:r>
        <w:t>trol exercised by the dominating power. The regime thus established often gen</w:t>
      </w:r>
      <w:r>
        <w:t>erates dual and contradictory notions of legality.</w:t>
      </w:r>
      <w:r>
        <w:rPr>
          <w:vertAlign w:val="superscript"/>
        </w:rPr>
        <w:t>70</w:t>
      </w:r>
      <w:r>
        <w:rPr>
          <w:rFonts w:cs="Calibri"/>
        </w:rPr>
        <w:t xml:space="preserve"> </w:t>
      </w:r>
      <w:r>
        <w:t>This happens, for example, when the law in force denies equal treatment to all.</w:t>
      </w:r>
      <w:r>
        <w:rPr>
          <w:vertAlign w:val="superscript"/>
        </w:rPr>
        <w:t>71</w:t>
      </w:r>
      <w:r>
        <w:rPr>
          <w:rFonts w:cs="Calibri"/>
        </w:rPr>
        <w:t xml:space="preserve"> </w:t>
      </w:r>
      <w:r>
        <w:t xml:space="preserve">Such a strategy of differentiation was characteristic of </w:t>
      </w:r>
      <w:r>
        <w:rPr>
          <w:rFonts w:cs="Calibri"/>
        </w:rPr>
        <w:t>colonial rule—often showing that the law in force in the colonie</w:t>
      </w:r>
      <w:r>
        <w:rPr>
          <w:rFonts w:cs="Calibri"/>
        </w:rPr>
        <w:t xml:space="preserve">s did not work as in the metropolitan territory—but by no means limited to it. Oppressive legal regimes enforce </w:t>
      </w:r>
      <w:r>
        <w:t>exclusion and produce alienation.</w:t>
      </w:r>
      <w:r>
        <w:rPr>
          <w:vertAlign w:val="superscript"/>
        </w:rPr>
        <w:t>72</w:t>
      </w:r>
      <w:r>
        <w:rPr>
          <w:rFonts w:cs="Calibri"/>
        </w:rPr>
        <w:t xml:space="preserve"> When independence is gained, the laws of the coloniz</w:t>
      </w:r>
      <w:r>
        <w:t>er may be maintained to avoid an alledged legal vacuum or for other reasons.</w:t>
      </w:r>
      <w:r>
        <w:rPr>
          <w:vertAlign w:val="superscript"/>
        </w:rPr>
        <w:t>73</w:t>
      </w:r>
      <w:r>
        <w:rPr>
          <w:rFonts w:cs="Calibri"/>
        </w:rPr>
        <w:t xml:space="preserve"> </w:t>
      </w:r>
      <w:r>
        <w:t xml:space="preserve">Their reach may be even extended (at least on paper) to assert that the new regime grants the </w:t>
      </w:r>
      <w:r>
        <w:rPr>
          <w:rFonts w:cs="Calibri"/>
        </w:rPr>
        <w:t>equal protection of the laws to all. For example, the French colonizers did not sys</w:t>
      </w:r>
      <w:r>
        <w:rPr>
          <w:rFonts w:cs="Calibri"/>
        </w:rPr>
        <w:t>temati</w:t>
      </w:r>
      <w:r>
        <w:t>cally apply the French civil code to the indigenous populations of Western Africa, but in the wake of independence the newly established States of this region decided that the Code civil would not just govern transactions among the Europeans, but als</w:t>
      </w:r>
      <w:r>
        <w:t>o, as far as possible, among the locals.</w:t>
      </w:r>
    </w:p>
    <w:p w:rsidR="00441B30" w:rsidRDefault="00C96797">
      <w:pPr>
        <w:spacing w:after="377" w:line="327" w:lineRule="auto"/>
        <w:ind w:left="-5"/>
      </w:pPr>
      <w:r>
        <w:t xml:space="preserve">Domination or coercion through the application of force often requires the use of local </w:t>
      </w:r>
      <w:r>
        <w:rPr>
          <w:rFonts w:cs="Calibri"/>
        </w:rPr>
        <w:t>skills and abilities. It is no wonder, therefore, that colonial rulers invested so much ener</w:t>
      </w:r>
      <w:r>
        <w:t>gy in the creation of the stereotyp</w:t>
      </w:r>
      <w:r>
        <w:t xml:space="preserve">e of the loyal </w:t>
      </w:r>
      <w:r>
        <w:lastRenderedPageBreak/>
        <w:t>colonial subject.</w:t>
      </w:r>
      <w:r>
        <w:rPr>
          <w:vertAlign w:val="superscript"/>
        </w:rPr>
        <w:t>74</w:t>
      </w:r>
      <w:r>
        <w:rPr>
          <w:rFonts w:cs="Calibri"/>
        </w:rPr>
        <w:t xml:space="preserve"> </w:t>
      </w:r>
      <w:r>
        <w:t xml:space="preserve">This strategy shows </w:t>
      </w:r>
      <w:r>
        <w:rPr>
          <w:rFonts w:cs="Calibri"/>
        </w:rPr>
        <w:t>how force or coercion may be blended with other factors such as prestige to uphold a spe</w:t>
      </w:r>
      <w:r>
        <w:t>cific legal regime (see Section</w:t>
      </w:r>
      <w:r>
        <w:rPr>
          <w:rFonts w:cs="Calibri"/>
        </w:rPr>
        <w:t xml:space="preserve"> </w:t>
      </w:r>
      <w:r>
        <w:t>V.2</w:t>
      </w:r>
      <w:r>
        <w:rPr>
          <w:rFonts w:cs="Calibri"/>
        </w:rPr>
        <w:t>). Recourse to violence has also contributed to the diffusion of law in an alt</w:t>
      </w:r>
      <w:r>
        <w:rPr>
          <w:rFonts w:cs="Calibri"/>
        </w:rPr>
        <w:t>ogether different way, that is, by causing lawyers to emigrate to a different country where they then contribute to the development of the domestic law. The intellectual history of comparative law in the twentieth century is testimony to this phenom</w:t>
      </w:r>
      <w:r>
        <w:t>enon: j</w:t>
      </w:r>
      <w:r>
        <w:t>urists escaping Nazism and fascism had to abandon their homeland and start a new life abroad.</w:t>
      </w:r>
      <w:r>
        <w:rPr>
          <w:vertAlign w:val="superscript"/>
        </w:rPr>
        <w:t>75</w:t>
      </w:r>
    </w:p>
    <w:p w:rsidR="00441B30" w:rsidRDefault="00C96797">
      <w:pPr>
        <w:pStyle w:val="Heading2"/>
        <w:spacing w:after="243"/>
        <w:ind w:left="145"/>
      </w:pPr>
      <w:r>
        <w:rPr>
          <w:noProof/>
          <w:sz w:val="22"/>
        </w:rPr>
        <mc:AlternateContent>
          <mc:Choice Requires="wpg">
            <w:drawing>
              <wp:anchor distT="0" distB="0" distL="114300" distR="114300" simplePos="0" relativeHeight="251676672" behindDoc="0" locked="0" layoutInCell="1" allowOverlap="1">
                <wp:simplePos x="0" y="0"/>
                <wp:positionH relativeFrom="column">
                  <wp:posOffset>28575</wp:posOffset>
                </wp:positionH>
                <wp:positionV relativeFrom="paragraph">
                  <wp:posOffset>14259</wp:posOffset>
                </wp:positionV>
                <wp:extent cx="436626" cy="142875"/>
                <wp:effectExtent l="0" t="0" r="0" b="0"/>
                <wp:wrapNone/>
                <wp:docPr id="48652" name="Group 48652"/>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060" name="Shape 5060"/>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8652" style="width:34.38pt;height:11.25pt;position:absolute;z-index:35;mso-position-horizontal-relative:text;mso-position-horizontal:absolute;margin-left:2.25pt;mso-position-vertical-relative:text;margin-top:1.12277pt;" coordsize="4366,1428">
                <v:shape id="Shape 5060"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rPr>
          <w:color w:val="666666"/>
          <w:sz w:val="14"/>
        </w:rPr>
        <w:t xml:space="preserve">(p. 460) </w:t>
      </w:r>
      <w:r>
        <w:t>2.</w:t>
      </w:r>
      <w:r>
        <w:t xml:space="preserve"> </w:t>
      </w:r>
      <w:r>
        <w:t>Prestige</w:t>
      </w:r>
    </w:p>
    <w:p w:rsidR="00441B30" w:rsidRDefault="00C96797">
      <w:pPr>
        <w:spacing w:after="240"/>
        <w:ind w:left="-5"/>
      </w:pPr>
      <w:r>
        <w:t xml:space="preserve">Although legal change can be brought about by outright imposition, receptions and legal transplants have often occurred without violence. </w:t>
      </w:r>
      <w:r>
        <w:t xml:space="preserve">The desire to have what others have, especially if it is deemed superior, may be enough to trigger transplants or receptions. </w:t>
      </w:r>
      <w:r>
        <w:rPr>
          <w:rFonts w:cs="Calibri"/>
        </w:rPr>
        <w:t>Thus, ‘prestige’ motivates imitation.</w:t>
      </w:r>
      <w:r>
        <w:rPr>
          <w:vertAlign w:val="superscript"/>
        </w:rPr>
        <w:t>76</w:t>
      </w:r>
      <w:r>
        <w:rPr>
          <w:rFonts w:cs="Calibri"/>
        </w:rPr>
        <w:t xml:space="preserve"> </w:t>
      </w:r>
      <w:r>
        <w:t xml:space="preserve">While some have objected to this notion, describing </w:t>
      </w:r>
      <w:r>
        <w:rPr>
          <w:rFonts w:cs="Calibri"/>
        </w:rPr>
        <w:t>prestige as a ‘largely empty idea’,</w:t>
      </w:r>
      <w:r>
        <w:rPr>
          <w:vertAlign w:val="superscript"/>
        </w:rPr>
        <w:t>77</w:t>
      </w:r>
      <w:r>
        <w:rPr>
          <w:rFonts w:cs="Calibri"/>
        </w:rPr>
        <w:t xml:space="preserve"> </w:t>
      </w:r>
      <w:r>
        <w:t>that objection fails to recognize that the influence of prestige is a well-known fact, not only in the field of law, but also beyond it.</w:t>
      </w:r>
      <w:r>
        <w:rPr>
          <w:vertAlign w:val="superscript"/>
        </w:rPr>
        <w:t>78</w:t>
      </w:r>
    </w:p>
    <w:p w:rsidR="00441B30" w:rsidRDefault="00C96797">
      <w:pPr>
        <w:spacing w:after="226" w:line="327" w:lineRule="auto"/>
        <w:ind w:left="-5"/>
      </w:pPr>
      <w:r>
        <w:rPr>
          <w:rFonts w:cs="Calibri"/>
        </w:rPr>
        <w:t>Generally speaking, prestige, like dominance based on outright imposition, is normally as</w:t>
      </w:r>
      <w:r>
        <w:t>sociated with social stratif</w:t>
      </w:r>
      <w:r>
        <w:t xml:space="preserve">ication, and so it must be understood as a variety of power. An </w:t>
      </w:r>
      <w:r>
        <w:rPr>
          <w:rFonts w:cs="Calibri"/>
        </w:rPr>
        <w:t xml:space="preserve">ideology determining what is deemed ‘superior’ is an ideational component that supports </w:t>
      </w:r>
      <w:r>
        <w:t>the working of prestige as a ruling factor.</w:t>
      </w:r>
      <w:r>
        <w:rPr>
          <w:vertAlign w:val="superscript"/>
        </w:rPr>
        <w:t>79</w:t>
      </w:r>
      <w:r>
        <w:rPr>
          <w:rFonts w:cs="Calibri"/>
        </w:rPr>
        <w:t xml:space="preserve"> </w:t>
      </w:r>
      <w:r>
        <w:t xml:space="preserve">As a factor of change, prestige differs from </w:t>
      </w:r>
      <w:r>
        <w:rPr>
          <w:rFonts w:cs="Calibri"/>
        </w:rPr>
        <w:t xml:space="preserve">dominance in </w:t>
      </w:r>
      <w:r>
        <w:rPr>
          <w:rFonts w:cs="Calibri"/>
        </w:rPr>
        <w:t>several respects. In contrast to prestige, dominance does not produce will</w:t>
      </w:r>
      <w:r>
        <w:t xml:space="preserve">ing adherence to cultural models. Dominance is clearly dependent on the application of </w:t>
      </w:r>
      <w:r>
        <w:rPr>
          <w:rFonts w:cs="Calibri"/>
        </w:rPr>
        <w:t>force and often disappears with it. Prestige does not display this dynamic. Though dominance an</w:t>
      </w:r>
      <w:r>
        <w:rPr>
          <w:rFonts w:cs="Calibri"/>
        </w:rPr>
        <w:t>d prestige are often joined, there are many examples of imitation driven by prestige alone. For instance, the circumstance that in the nineteenth century the German pro</w:t>
      </w:r>
      <w:r>
        <w:t xml:space="preserve">fessoriate became a role model for top legal academics in the United States can only be </w:t>
      </w:r>
      <w:r>
        <w:t>explained in terms of prestige.</w:t>
      </w:r>
      <w:r>
        <w:rPr>
          <w:vertAlign w:val="superscript"/>
        </w:rPr>
        <w:t>80</w:t>
      </w:r>
    </w:p>
    <w:p w:rsidR="00441B30" w:rsidRDefault="00C96797">
      <w:pPr>
        <w:spacing w:after="249"/>
        <w:ind w:left="-5"/>
      </w:pPr>
      <w:r>
        <w:t>Legal change induced by the influence of a prestigious source often involves a variety of elements. A prestigious model may influence the development of the law by shaping legal ideals, institutions, categories, and rules.</w:t>
      </w:r>
      <w:r>
        <w:t xml:space="preserve"> At least at the initial stage, those who are trying to replicate a prestigious model may be tempted to identify themselves with its authors. Thus, in the last quarter of the nineteenth century, the German professoriate became a </w:t>
      </w:r>
      <w:r>
        <w:rPr>
          <w:rFonts w:cs="Calibri"/>
        </w:rPr>
        <w:t>role model for top legal ac</w:t>
      </w:r>
      <w:r>
        <w:rPr>
          <w:rFonts w:cs="Calibri"/>
        </w:rPr>
        <w:t>ademics in the United States. Innovation brokers can also positively influence the diffusion of innovation associated with prestige. An innovation strongly supported by an opinion leader will spread much more rapidly than one that fails to en</w:t>
      </w:r>
      <w:r>
        <w:t>list such supp</w:t>
      </w:r>
      <w:r>
        <w:t>ort.</w:t>
      </w:r>
      <w:r>
        <w:rPr>
          <w:vertAlign w:val="superscript"/>
        </w:rPr>
        <w:t>81</w:t>
      </w:r>
    </w:p>
    <w:p w:rsidR="00441B30" w:rsidRDefault="00C96797">
      <w:pPr>
        <w:ind w:left="-5"/>
      </w:pPr>
      <w:r>
        <w:rPr>
          <w:rFonts w:cs="Calibri"/>
          <w:noProof/>
          <w:sz w:val="22"/>
        </w:rPr>
        <mc:AlternateContent>
          <mc:Choice Requires="wpg">
            <w:drawing>
              <wp:anchor distT="0" distB="0" distL="114300" distR="114300" simplePos="0" relativeHeight="251677696" behindDoc="0" locked="0" layoutInCell="1" allowOverlap="1">
                <wp:simplePos x="0" y="0"/>
                <wp:positionH relativeFrom="column">
                  <wp:posOffset>1688465</wp:posOffset>
                </wp:positionH>
                <wp:positionV relativeFrom="paragraph">
                  <wp:posOffset>1204802</wp:posOffset>
                </wp:positionV>
                <wp:extent cx="436499" cy="142875"/>
                <wp:effectExtent l="0" t="0" r="0" b="0"/>
                <wp:wrapNone/>
                <wp:docPr id="48653" name="Group 48653"/>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5111" name="Shape 5111"/>
                        <wps:cNvSpPr/>
                        <wps:spPr>
                          <a:xfrm>
                            <a:off x="0" y="0"/>
                            <a:ext cx="436499" cy="142875"/>
                          </a:xfrm>
                          <a:custGeom>
                            <a:avLst/>
                            <a:gdLst/>
                            <a:ahLst/>
                            <a:cxnLst/>
                            <a:rect l="0" t="0" r="0" b="0"/>
                            <a:pathLst>
                              <a:path w="436499" h="142875">
                                <a:moveTo>
                                  <a:pt x="28575" y="0"/>
                                </a:moveTo>
                                <a:cubicBezTo>
                                  <a:pt x="28575" y="0"/>
                                  <a:pt x="28575" y="0"/>
                                  <a:pt x="407924" y="0"/>
                                </a:cubicBezTo>
                                <a:cubicBezTo>
                                  <a:pt x="423672" y="0"/>
                                  <a:pt x="436499" y="12827"/>
                                  <a:pt x="436499" y="28575"/>
                                </a:cubicBezTo>
                                <a:cubicBezTo>
                                  <a:pt x="436499" y="28575"/>
                                  <a:pt x="436499" y="28575"/>
                                  <a:pt x="436499" y="114300"/>
                                </a:cubicBezTo>
                                <a:cubicBezTo>
                                  <a:pt x="436499" y="130175"/>
                                  <a:pt x="423672" y="142875"/>
                                  <a:pt x="407924" y="142875"/>
                                </a:cubicBezTo>
                                <a:cubicBezTo>
                                  <a:pt x="407924" y="142875"/>
                                  <a:pt x="407924" y="142875"/>
                                  <a:pt x="28575" y="142875"/>
                                </a:cubicBezTo>
                                <a:cubicBezTo>
                                  <a:pt x="12700" y="142875"/>
                                  <a:pt x="0" y="130175"/>
                                  <a:pt x="0" y="114300"/>
                                </a:cubicBezTo>
                                <a:lnTo>
                                  <a:pt x="0" y="28575"/>
                                </a:lnTo>
                                <a:cubicBezTo>
                                  <a:pt x="0" y="12827"/>
                                  <a:pt x="12700"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8653" style="width:34.37pt;height:11.25pt;position:absolute;z-index:86;mso-position-horizontal-relative:text;mso-position-horizontal:absolute;margin-left:132.95pt;mso-position-vertical-relative:text;margin-top:94.8663pt;" coordsize="4364,1428">
                <v:shape id="Shape 5111" style="position:absolute;width:4364;height:1428;left:0;top:0;" coordsize="436499,142875" path="m28575,0c28575,0,28575,0,407924,0c423672,0,436499,12827,436499,28575c436499,28575,436499,28575,436499,114300c436499,130175,423672,142875,407924,142875c407924,142875,407924,142875,28575,142875c12700,142875,0,130175,0,114300l0,28575c0,12827,12700,0,28575,0x">
                  <v:stroke weight="0pt" endcap="square" joinstyle="miter" miterlimit="10" on="false" color="#000000" opacity="0"/>
                  <v:fill on="true" color="#e3e3e3"/>
                </v:shape>
              </v:group>
            </w:pict>
          </mc:Fallback>
        </mc:AlternateContent>
      </w:r>
      <w:r>
        <w:t xml:space="preserve">Who governs the diffusion of an innovation supported by prestige? To be sure, the source proffered for imitation may provide incentives, and thus act as a policy-maker. Yet, the </w:t>
      </w:r>
      <w:r>
        <w:rPr>
          <w:rFonts w:cs="Calibri"/>
        </w:rPr>
        <w:t xml:space="preserve">originators of the innovation may be unaware, or only dimly aware, of </w:t>
      </w:r>
      <w:r>
        <w:rPr>
          <w:rFonts w:cs="Calibri"/>
        </w:rPr>
        <w:t>its impact else</w:t>
      </w:r>
      <w:r>
        <w:t>where. They may know nothing (or very little) about the influence of their new model abroad. As a result, the local actors at the receiving end will manage the process of change. Their choice about what to do with the imported model can incl</w:t>
      </w:r>
      <w:r>
        <w:t>ude options that would leave the authors</w:t>
      </w:r>
      <w:r>
        <w:rPr>
          <w:rFonts w:cs="Calibri"/>
        </w:rPr>
        <w:t xml:space="preserve"> </w:t>
      </w:r>
      <w:r>
        <w:rPr>
          <w:rFonts w:cs="Calibri"/>
          <w:color w:val="666666"/>
          <w:sz w:val="14"/>
        </w:rPr>
        <w:t xml:space="preserve">(p. 461) </w:t>
      </w:r>
      <w:r>
        <w:t xml:space="preserve">of the original model baffled, surprised, or disappointed. </w:t>
      </w:r>
    </w:p>
    <w:p w:rsidR="00441B30" w:rsidRDefault="00C96797">
      <w:pPr>
        <w:spacing w:after="353" w:line="327" w:lineRule="auto"/>
        <w:ind w:left="-5"/>
      </w:pPr>
      <w:r>
        <w:rPr>
          <w:rFonts w:cs="Calibri"/>
        </w:rPr>
        <w:t>An instance of this productive mismatch is the complex pattern of reception of the ju</w:t>
      </w:r>
      <w:r>
        <w:t>risprudence of Kelsen, Hart, and Dworkin in South America.</w:t>
      </w:r>
      <w:r>
        <w:rPr>
          <w:vertAlign w:val="superscript"/>
        </w:rPr>
        <w:t>82</w:t>
      </w:r>
    </w:p>
    <w:p w:rsidR="00441B30" w:rsidRDefault="00C96797">
      <w:pPr>
        <w:pStyle w:val="Heading2"/>
        <w:ind w:left="-5"/>
      </w:pPr>
      <w:r>
        <w:lastRenderedPageBreak/>
        <w:t>3.</w:t>
      </w:r>
      <w:r>
        <w:t xml:space="preserve"> </w:t>
      </w:r>
      <w:r>
        <w:t>Economic Performance and the Transplant of Legal Institutions</w:t>
      </w:r>
    </w:p>
    <w:p w:rsidR="00441B30" w:rsidRDefault="00C96797">
      <w:pPr>
        <w:spacing w:after="228"/>
        <w:ind w:left="-5"/>
      </w:pPr>
      <w:r>
        <w:t>Some of the most ambitious programmes of neo-</w:t>
      </w:r>
      <w:r>
        <w:t>liberal legal reform in the last decades have been launched by international financial institutions (in the first place the World Bank), or within the framework of international trade law agreements. Many of these changes broadly qualify as legal transplan</w:t>
      </w:r>
      <w:r>
        <w:t>ts, such as the massive enactment of new IP laws as a consequence of the TRIPS Agreement, one of the most contentious international agreements signed by a large number of countries.</w:t>
      </w:r>
      <w:r>
        <w:rPr>
          <w:vertAlign w:val="superscript"/>
        </w:rPr>
        <w:t>83</w:t>
      </w:r>
      <w:r>
        <w:rPr>
          <w:rFonts w:cs="Calibri"/>
        </w:rPr>
        <w:t xml:space="preserve"> </w:t>
      </w:r>
      <w:r>
        <w:t xml:space="preserve">Quite often, the question is whether </w:t>
      </w:r>
      <w:r>
        <w:rPr>
          <w:rFonts w:cs="Calibri"/>
        </w:rPr>
        <w:t>the transplanted law will function as expected by its supporters or merely constitute a de</w:t>
      </w:r>
      <w:r>
        <w:t xml:space="preserve">ceptive façade behind which other arrangements prevail. The answer to this question is </w:t>
      </w:r>
      <w:r>
        <w:rPr>
          <w:rFonts w:cs="Calibri"/>
        </w:rPr>
        <w:t>rarely an unqualified yes or no (although some clear ‘no’s’ are on record</w:t>
      </w:r>
      <w:r>
        <w:rPr>
          <w:vertAlign w:val="superscript"/>
        </w:rPr>
        <w:t>84</w:t>
      </w:r>
      <w:r>
        <w:t>).</w:t>
      </w:r>
    </w:p>
    <w:p w:rsidR="00441B30" w:rsidRDefault="00C96797">
      <w:pPr>
        <w:spacing w:after="193" w:line="327" w:lineRule="auto"/>
        <w:ind w:left="-5"/>
      </w:pPr>
      <w:r>
        <w:rPr>
          <w:rFonts w:cs="Calibri"/>
        </w:rPr>
        <w:t>T</w:t>
      </w:r>
      <w:r>
        <w:rPr>
          <w:rFonts w:cs="Calibri"/>
        </w:rPr>
        <w:t>his aspect of the study of legal transplants involves an analysis of the relationship between economic performance and legal institutions. The question is whether legal transplants can improve economic performance by leading to the adoption of more efficie</w:t>
      </w:r>
      <w:r>
        <w:rPr>
          <w:rFonts w:cs="Calibri"/>
        </w:rPr>
        <w:t>nt le</w:t>
      </w:r>
      <w:r>
        <w:t xml:space="preserve">gal institutions. A distinct issue is whether the search for economic efficiency plays out as </w:t>
      </w:r>
      <w:r>
        <w:rPr>
          <w:rFonts w:cs="Calibri"/>
        </w:rPr>
        <w:t>a major factor in producing legal transplants. In the last few decades, law reform initia</w:t>
      </w:r>
      <w:r>
        <w:t>tives with an impact on the economy have seldom refrained from claim</w:t>
      </w:r>
      <w:r>
        <w:t xml:space="preserve">ing that they aim </w:t>
      </w:r>
      <w:r>
        <w:rPr>
          <w:rFonts w:cs="Calibri"/>
        </w:rPr>
        <w:t xml:space="preserve">to introduce more efficient regimes. Hence, at least as a rhetorical device, ‘efficiency’ </w:t>
      </w:r>
      <w:r>
        <w:t>works wonders.</w:t>
      </w:r>
    </w:p>
    <w:p w:rsidR="00441B30" w:rsidRDefault="00C96797">
      <w:pPr>
        <w:ind w:left="-5"/>
      </w:pPr>
      <w:r>
        <w:rPr>
          <w:rFonts w:cs="Calibri"/>
        </w:rPr>
        <w:t>When the merits are considered, one thesis is that transplants often do facilitate the de</w:t>
      </w:r>
      <w:r>
        <w:t>velopment of efficient legal institutions.</w:t>
      </w:r>
      <w:r>
        <w:rPr>
          <w:vertAlign w:val="superscript"/>
        </w:rPr>
        <w:t>85</w:t>
      </w:r>
      <w:r>
        <w:rPr>
          <w:rFonts w:cs="Calibri"/>
        </w:rPr>
        <w:t xml:space="preserve"> </w:t>
      </w:r>
      <w:r>
        <w:t>At first glance, this claim is plausible. The rise of similar legal institutions in different societies may be related, e.g., to their capacity to lower transaction costs. The modern corporate form, trusts and other asset-management techniques, as well as</w:t>
      </w:r>
      <w:r>
        <w:t xml:space="preserve"> negotiable instruments, among others, have replaced earlier legal forms that generated higher transaction costs. The inference is that their diffusion must be linked to their competitive advantage over alternative institutions.</w:t>
      </w:r>
      <w:r>
        <w:rPr>
          <w:vertAlign w:val="superscript"/>
        </w:rPr>
        <w:t>86</w:t>
      </w:r>
    </w:p>
    <w:p w:rsidR="00441B30" w:rsidRDefault="00C96797">
      <w:pPr>
        <w:spacing w:after="250"/>
        <w:ind w:left="-15" w:firstLine="135"/>
      </w:pPr>
      <w:r>
        <w:rPr>
          <w:rFonts w:cs="Calibri"/>
          <w:noProof/>
          <w:sz w:val="22"/>
        </w:rPr>
        <mc:AlternateContent>
          <mc:Choice Requires="wpg">
            <w:drawing>
              <wp:anchor distT="0" distB="0" distL="114300" distR="114300" simplePos="0" relativeHeight="251678720" behindDoc="0" locked="0" layoutInCell="1" allowOverlap="1">
                <wp:simplePos x="0" y="0"/>
                <wp:positionH relativeFrom="column">
                  <wp:posOffset>28575</wp:posOffset>
                </wp:positionH>
                <wp:positionV relativeFrom="paragraph">
                  <wp:posOffset>3097</wp:posOffset>
                </wp:positionV>
                <wp:extent cx="436626" cy="142875"/>
                <wp:effectExtent l="0" t="0" r="0" b="0"/>
                <wp:wrapNone/>
                <wp:docPr id="48776" name="Group 48776"/>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203" name="Shape 5203"/>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8776" style="width:34.38pt;height:11.25pt;position:absolute;z-index:68;mso-position-horizontal-relative:text;mso-position-horizontal:absolute;margin-left:2.25pt;mso-position-vertical-relative:text;margin-top:0.243896pt;" coordsize="4366,1428">
                <v:shape id="Shape 5203"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rPr>
          <w:rFonts w:cs="Calibri"/>
          <w:color w:val="666666"/>
          <w:sz w:val="14"/>
        </w:rPr>
        <w:t xml:space="preserve">(p. 462) </w:t>
      </w:r>
      <w:r>
        <w:rPr>
          <w:rFonts w:cs="Calibri"/>
        </w:rPr>
        <w:t>Yet, the notion</w:t>
      </w:r>
      <w:r>
        <w:rPr>
          <w:rFonts w:cs="Calibri"/>
        </w:rPr>
        <w:t xml:space="preserve"> that the efficiency of an institution or rule explains its diffusion re</w:t>
      </w:r>
      <w:r>
        <w:t>mains problematic. It is also questionable to argue that the efficiency of institutions on the ground depends on their legal origins, as La Porta Silanes and others have claimed.</w:t>
      </w:r>
      <w:r>
        <w:rPr>
          <w:vertAlign w:val="superscript"/>
        </w:rPr>
        <w:t>87</w:t>
      </w:r>
      <w:r>
        <w:rPr>
          <w:rFonts w:cs="Calibri"/>
          <w:vertAlign w:val="superscript"/>
        </w:rPr>
        <w:t xml:space="preserve"> </w:t>
      </w:r>
      <w:r>
        <w:t>The</w:t>
      </w:r>
      <w:r>
        <w:t xml:space="preserve"> debate over the legal origins hypothesis ended up in a refutation of the initial thesis, namely that more efficient outcomes were connected to the common law origins of the transplanted rules.</w:t>
      </w:r>
      <w:r>
        <w:rPr>
          <w:vertAlign w:val="superscript"/>
        </w:rPr>
        <w:t>88</w:t>
      </w:r>
      <w:r>
        <w:rPr>
          <w:rFonts w:cs="Calibri"/>
        </w:rPr>
        <w:t xml:space="preserve"> </w:t>
      </w:r>
      <w:r>
        <w:t>There is, however, evidence of path dependency in the patter</w:t>
      </w:r>
      <w:r>
        <w:t xml:space="preserve">ns of reception, as Holger Spamann has shown with respect to corporate and securities law by documenting the frequent and often exclusive use of legal materials and models from the </w:t>
      </w:r>
      <w:r>
        <w:rPr>
          <w:rFonts w:cs="Calibri"/>
        </w:rPr>
        <w:t>respective legal family’s core countries in treatises and law reform projec</w:t>
      </w:r>
      <w:r>
        <w:rPr>
          <w:rFonts w:cs="Calibri"/>
        </w:rPr>
        <w:t xml:space="preserve">ts in thirty-two </w:t>
      </w:r>
      <w:r>
        <w:t>jurisdictions.</w:t>
      </w:r>
      <w:r>
        <w:rPr>
          <w:vertAlign w:val="superscript"/>
        </w:rPr>
        <w:t>89</w:t>
      </w:r>
    </w:p>
    <w:p w:rsidR="00441B30" w:rsidRDefault="00C96797">
      <w:pPr>
        <w:spacing w:after="234"/>
        <w:ind w:left="-5"/>
      </w:pPr>
      <w:r>
        <w:t>The idea that competition among legal institutions explains legal transplants (and more generally legal change) is questionable because of the assumptions on which it rests. The nature of decision-making under conditions o</w:t>
      </w:r>
      <w:r>
        <w:t xml:space="preserve">f uncertainty and imperfect rationality in a </w:t>
      </w:r>
      <w:r>
        <w:rPr>
          <w:rFonts w:cs="Calibri"/>
        </w:rPr>
        <w:t>world where ‘ideas, ideologies, myths, dogmas, and prejudices matter’,</w:t>
      </w:r>
      <w:r>
        <w:rPr>
          <w:vertAlign w:val="superscript"/>
        </w:rPr>
        <w:t>90</w:t>
      </w:r>
      <w:r>
        <w:rPr>
          <w:rFonts w:cs="Calibri"/>
        </w:rPr>
        <w:t xml:space="preserve"> suggests pru</w:t>
      </w:r>
      <w:r>
        <w:t xml:space="preserve">dence. Nor can one ignore that vested interests play a major role in any battle for or </w:t>
      </w:r>
      <w:r>
        <w:rPr>
          <w:rFonts w:cs="Calibri"/>
        </w:rPr>
        <w:t>against change, and worthy causes for r</w:t>
      </w:r>
      <w:r>
        <w:rPr>
          <w:rFonts w:cs="Calibri"/>
        </w:rPr>
        <w:t>esistance may be grounded in a variety of consid</w:t>
      </w:r>
      <w:r>
        <w:t>erations. The crucial factor in evaluating the chances of success for a proposed legal change seems to be the character of the transfer process rather than the nature of the law at stake.</w:t>
      </w:r>
      <w:r>
        <w:rPr>
          <w:vertAlign w:val="superscript"/>
        </w:rPr>
        <w:t>91</w:t>
      </w:r>
      <w:r>
        <w:rPr>
          <w:rFonts w:cs="Calibri"/>
        </w:rPr>
        <w:t xml:space="preserve"> </w:t>
      </w:r>
      <w:r>
        <w:t>Still, there are a</w:t>
      </w:r>
      <w:r>
        <w:t xml:space="preserve">t least some clear cases of law reform initiatives targeted </w:t>
      </w:r>
      <w:r>
        <w:rPr>
          <w:rFonts w:cs="Calibri"/>
        </w:rPr>
        <w:t>at enhancing efficiency, such as the development of new mortgage laws in Eastern Eu</w:t>
      </w:r>
      <w:r>
        <w:t>rope under the aegis of the European Bank for Reconstruction and Development.</w:t>
      </w:r>
      <w:r>
        <w:rPr>
          <w:vertAlign w:val="superscript"/>
        </w:rPr>
        <w:t>92</w:t>
      </w:r>
    </w:p>
    <w:p w:rsidR="00441B30" w:rsidRDefault="00C96797">
      <w:pPr>
        <w:ind w:left="-5"/>
      </w:pPr>
      <w:r>
        <w:lastRenderedPageBreak/>
        <w:t>It is clear that the study of eco</w:t>
      </w:r>
      <w:r>
        <w:t>nomics can provide empirical evidence about the effects of legal transplants in terms of economic performance (or lack thereof).</w:t>
      </w:r>
      <w:r>
        <w:rPr>
          <w:vertAlign w:val="superscript"/>
        </w:rPr>
        <w:t>93</w:t>
      </w:r>
      <w:r>
        <w:rPr>
          <w:rFonts w:cs="Calibri"/>
        </w:rPr>
        <w:t xml:space="preserve"> Thus, it is a wel</w:t>
      </w:r>
      <w:r>
        <w:t xml:space="preserve">come addition to the stock of tools employed by fact-based comparative legal studies. Still, the quality of </w:t>
      </w:r>
      <w:r>
        <w:t>the economic indicators used to prove a correlation between economic performance and the law remains a persistent problem because measuring legal effects is a notoriously difficult task, especially in a cross-cultural context.</w:t>
      </w:r>
    </w:p>
    <w:p w:rsidR="00441B30" w:rsidRDefault="00C96797">
      <w:pPr>
        <w:spacing w:after="1"/>
        <w:ind w:left="-5"/>
      </w:pPr>
      <w:r>
        <w:t>Somewhat paradoxically, purel</w:t>
      </w:r>
      <w:r>
        <w:t>y economic approaches to development have highlighted the importance of some factors that mainstream economics has ignored for decades, such as the quality of the legal system. Thus, international actors who have a stake in these</w:t>
      </w:r>
      <w:r>
        <w:rPr>
          <w:rFonts w:cs="Calibri"/>
        </w:rPr>
        <w:t xml:space="preserve"> </w:t>
      </w:r>
    </w:p>
    <w:p w:rsidR="00441B30" w:rsidRDefault="00C96797">
      <w:pPr>
        <w:spacing w:after="242"/>
        <w:ind w:left="-15" w:firstLine="135"/>
      </w:pPr>
      <w:r>
        <w:rPr>
          <w:rFonts w:cs="Calibri"/>
          <w:noProof/>
          <w:sz w:val="22"/>
        </w:rPr>
        <mc:AlternateContent>
          <mc:Choice Requires="wpg">
            <w:drawing>
              <wp:anchor distT="0" distB="0" distL="114300" distR="114300" simplePos="0" relativeHeight="251679744" behindDoc="0" locked="0" layoutInCell="1" allowOverlap="1">
                <wp:simplePos x="0" y="0"/>
                <wp:positionH relativeFrom="column">
                  <wp:posOffset>28575</wp:posOffset>
                </wp:positionH>
                <wp:positionV relativeFrom="paragraph">
                  <wp:posOffset>3250</wp:posOffset>
                </wp:positionV>
                <wp:extent cx="436626" cy="142875"/>
                <wp:effectExtent l="0" t="0" r="0" b="0"/>
                <wp:wrapNone/>
                <wp:docPr id="48986" name="Group 48986"/>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300" name="Shape 5300"/>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8986" style="width:34.38pt;height:11.25pt;position:absolute;z-index:57;mso-position-horizontal-relative:text;mso-position-horizontal:absolute;margin-left:2.25pt;mso-position-vertical-relative:text;margin-top:0.25589pt;" coordsize="4366,1428">
                <v:shape id="Shape 5300"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color w:val="666666"/>
          <w:sz w:val="14"/>
        </w:rPr>
        <w:t xml:space="preserve">(p. 463) </w:t>
      </w:r>
      <w:r>
        <w:t>projects now tu</w:t>
      </w:r>
      <w:r>
        <w:t xml:space="preserve">rn to the study of themes concerning legal transfers that have long </w:t>
      </w:r>
      <w:r>
        <w:rPr>
          <w:rFonts w:cs="Calibri"/>
        </w:rPr>
        <w:t>been discussed in legal scholarship. It is true that interventions aimed at improving eco</w:t>
      </w:r>
      <w:r>
        <w:t xml:space="preserve">nomic performance still run the risk of ignoring local knowledge. The prescription of </w:t>
      </w:r>
      <w:r>
        <w:rPr>
          <w:rFonts w:cs="Calibri"/>
        </w:rPr>
        <w:t>models and pr</w:t>
      </w:r>
      <w:r>
        <w:rPr>
          <w:rFonts w:cs="Calibri"/>
        </w:rPr>
        <w:t>actices adopted in the most industrialized countries for less developed re</w:t>
      </w:r>
      <w:r>
        <w:t>gions is now widely regarded as unsuitable and discredited as a starting point.</w:t>
      </w:r>
      <w:r>
        <w:rPr>
          <w:vertAlign w:val="superscript"/>
        </w:rPr>
        <w:t>94</w:t>
      </w:r>
    </w:p>
    <w:p w:rsidR="00441B30" w:rsidRDefault="00C96797">
      <w:pPr>
        <w:spacing w:after="658"/>
        <w:ind w:left="-5"/>
      </w:pPr>
      <w:r>
        <w:t>Of course, institutional change aimed at improving economic performance has a political dimension. T</w:t>
      </w:r>
      <w:r>
        <w:t xml:space="preserve">he actors with global ambitions and powerful means are best placed to shape </w:t>
      </w:r>
      <w:r>
        <w:rPr>
          <w:rFonts w:cs="Calibri"/>
        </w:rPr>
        <w:t>the politics of development. Their use of vague notions, such as ‘good governance’, is in</w:t>
      </w:r>
      <w:r>
        <w:t>strumental to these ends.</w:t>
      </w:r>
      <w:r>
        <w:rPr>
          <w:vertAlign w:val="superscript"/>
        </w:rPr>
        <w:t>95</w:t>
      </w:r>
      <w:r>
        <w:rPr>
          <w:rFonts w:cs="Calibri"/>
        </w:rPr>
        <w:t xml:space="preserve"> </w:t>
      </w:r>
      <w:r>
        <w:t>But orthodoxies designed for export may well be controversial a</w:t>
      </w:r>
      <w:r>
        <w:t>t home.</w:t>
      </w:r>
      <w:r>
        <w:rPr>
          <w:vertAlign w:val="superscript"/>
        </w:rPr>
        <w:t>96</w:t>
      </w:r>
      <w:r>
        <w:rPr>
          <w:rFonts w:cs="Calibri"/>
        </w:rPr>
        <w:t xml:space="preserve"> </w:t>
      </w:r>
      <w:r>
        <w:t xml:space="preserve">Within this uncertain landscape, it is not easy to find a reliable standard by which to measure the legitimacy of legal transfers. Of major importance, it seems, are the </w:t>
      </w:r>
      <w:r>
        <w:rPr>
          <w:rFonts w:cs="Calibri"/>
        </w:rPr>
        <w:t>accessibility of the information concerning the proposed change, the disclos</w:t>
      </w:r>
      <w:r>
        <w:rPr>
          <w:rFonts w:cs="Calibri"/>
        </w:rPr>
        <w:t>ure of its potential impact on the interested parties, and the degree and kind of the actors’ involve</w:t>
      </w:r>
      <w:r>
        <w:t>ment in the project.</w:t>
      </w:r>
      <w:r>
        <w:rPr>
          <w:vertAlign w:val="superscript"/>
        </w:rPr>
        <w:t>97</w:t>
      </w:r>
    </w:p>
    <w:p w:rsidR="00441B30" w:rsidRDefault="00C96797">
      <w:pPr>
        <w:spacing w:after="36" w:line="260" w:lineRule="auto"/>
        <w:ind w:left="-5"/>
      </w:pPr>
      <w:r>
        <w:rPr>
          <w:rFonts w:cs="Calibri"/>
          <w:sz w:val="36"/>
        </w:rPr>
        <w:t>VII. What Change?</w:t>
      </w:r>
    </w:p>
    <w:p w:rsidR="00441B30" w:rsidRDefault="00C96797">
      <w:pPr>
        <w:spacing w:after="193" w:line="327" w:lineRule="auto"/>
        <w:ind w:left="-5"/>
      </w:pPr>
      <w:r>
        <w:rPr>
          <w:rFonts w:cs="Calibri"/>
        </w:rPr>
        <w:t xml:space="preserve">Transplants and receptions have been mentioned earlier as a source of ‘legal change’ but </w:t>
      </w:r>
      <w:r>
        <w:t xml:space="preserve">this term itself is so vague that it invites critical scrutiny. Upon closer inspection, it turns </w:t>
      </w:r>
      <w:r>
        <w:rPr>
          <w:rFonts w:cs="Calibri"/>
        </w:rPr>
        <w:t>out that transplants and receptions coexist with patterns of change an</w:t>
      </w:r>
      <w:r>
        <w:rPr>
          <w:rFonts w:cs="Calibri"/>
        </w:rPr>
        <w:t>d continuity in vari</w:t>
      </w:r>
      <w:r>
        <w:t>ous ways.</w:t>
      </w:r>
    </w:p>
    <w:p w:rsidR="00441B30" w:rsidRDefault="00C96797">
      <w:pPr>
        <w:spacing w:after="193" w:line="327" w:lineRule="auto"/>
        <w:ind w:left="-5"/>
      </w:pPr>
      <w:r>
        <w:rPr>
          <w:rFonts w:cs="Calibri"/>
        </w:rPr>
        <w:t>First, new meanings can be attached to old institutions and rules. The well-known expres</w:t>
      </w:r>
      <w:r>
        <w:t>sion:</w:t>
      </w:r>
      <w:r>
        <w:rPr>
          <w:rFonts w:cs="Calibri"/>
        </w:rPr>
        <w:t xml:space="preserve"> plus ça change, plus c’est la même chose, captures the irony of the situation. Sovietologists have often investigated the degree to </w:t>
      </w:r>
      <w:r>
        <w:rPr>
          <w:rFonts w:cs="Calibri"/>
        </w:rPr>
        <w:t>which Soviet law relied on pre-revolution</w:t>
      </w:r>
      <w:r>
        <w:t xml:space="preserve">ary law. Students of French law have done the same with respect to the law before the French Revolution. Other parts of the world too, in Africa, Asia, and Central and South </w:t>
      </w:r>
      <w:r>
        <w:rPr>
          <w:rFonts w:cs="Calibri"/>
        </w:rPr>
        <w:t xml:space="preserve">America show that innovations introduced </w:t>
      </w:r>
      <w:r>
        <w:rPr>
          <w:rFonts w:cs="Calibri"/>
        </w:rPr>
        <w:t>through legal transplants produce similar pat</w:t>
      </w:r>
      <w:r>
        <w:t>terns of continuity and change.</w:t>
      </w:r>
    </w:p>
    <w:p w:rsidR="00441B30" w:rsidRDefault="00C96797">
      <w:pPr>
        <w:spacing w:after="193" w:line="327" w:lineRule="auto"/>
        <w:ind w:left="-5"/>
      </w:pPr>
      <w:r>
        <w:t xml:space="preserve">Second, the appropriation of foreign elements may be disguised by dressing them up in </w:t>
      </w:r>
      <w:r>
        <w:rPr>
          <w:rFonts w:cs="Calibri"/>
        </w:rPr>
        <w:t xml:space="preserve">familiar clothes. The invocation of ancient precedents or apparently similar local practices </w:t>
      </w:r>
      <w:r>
        <w:rPr>
          <w:rFonts w:cs="Calibri"/>
        </w:rPr>
        <w:t>is a strategic move that renders familiar and customary what is truly alien and novel. Such strategies help to forestall adverse reactions to change and to facilitate its accep</w:t>
      </w:r>
      <w:r>
        <w:t>tance. Yet, they also betray the difficulty of understanding change in its own t</w:t>
      </w:r>
      <w:r>
        <w:t>erms.</w:t>
      </w:r>
      <w:r>
        <w:rPr>
          <w:rFonts w:cs="Calibri"/>
        </w:rPr>
        <w:t xml:space="preserve"> </w:t>
      </w:r>
      <w:r>
        <w:rPr>
          <w:rFonts w:cs="Calibri"/>
          <w:i/>
        </w:rPr>
        <w:t xml:space="preserve">Plus </w:t>
      </w:r>
      <w:r>
        <w:rPr>
          <w:rFonts w:cs="Calibri"/>
        </w:rPr>
        <w:t>c’est la même chose, plus ça change could be the paradoxical motto showing how innova</w:t>
      </w:r>
      <w:r>
        <w:t>tion proceeds in this case.</w:t>
      </w:r>
    </w:p>
    <w:p w:rsidR="00441B30" w:rsidRDefault="00C96797">
      <w:pPr>
        <w:spacing w:after="0" w:line="327" w:lineRule="auto"/>
        <w:ind w:left="-5"/>
      </w:pPr>
      <w:r>
        <w:rPr>
          <w:rFonts w:cs="Calibri"/>
        </w:rPr>
        <w:t xml:space="preserve">Overcoming the vagueness of the notion of ‘legal change’ is a major goal of comparative </w:t>
      </w:r>
      <w:r>
        <w:t>law as a study of transplants and receptions</w:t>
      </w:r>
      <w:r>
        <w:t>. What exactly is changing? Does the change</w:t>
      </w:r>
      <w:r>
        <w:rPr>
          <w:rFonts w:cs="Calibri"/>
        </w:rPr>
        <w:t xml:space="preserve"> </w:t>
      </w:r>
    </w:p>
    <w:p w:rsidR="00441B30" w:rsidRDefault="00C96797">
      <w:pPr>
        <w:spacing w:after="224" w:line="327" w:lineRule="auto"/>
        <w:ind w:left="-15" w:firstLine="135"/>
      </w:pPr>
      <w:r>
        <w:rPr>
          <w:rFonts w:cs="Calibri"/>
          <w:noProof/>
          <w:sz w:val="22"/>
        </w:rPr>
        <w:lastRenderedPageBreak/>
        <mc:AlternateContent>
          <mc:Choice Requires="wpg">
            <w:drawing>
              <wp:anchor distT="0" distB="0" distL="114300" distR="114300" simplePos="0" relativeHeight="251680768" behindDoc="0" locked="0" layoutInCell="1" allowOverlap="1">
                <wp:simplePos x="0" y="0"/>
                <wp:positionH relativeFrom="column">
                  <wp:posOffset>28575</wp:posOffset>
                </wp:positionH>
                <wp:positionV relativeFrom="paragraph">
                  <wp:posOffset>3189</wp:posOffset>
                </wp:positionV>
                <wp:extent cx="436626" cy="142875"/>
                <wp:effectExtent l="0" t="0" r="0" b="0"/>
                <wp:wrapNone/>
                <wp:docPr id="48984" name="Group 48984"/>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404" name="Shape 5404"/>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8984" style="width:34.38pt;height:11.25pt;position:absolute;z-index:47;mso-position-horizontal-relative:text;mso-position-horizontal:absolute;margin-left:2.25pt;mso-position-vertical-relative:text;margin-top:0.251129pt;" coordsize="4366,1428">
                <v:shape id="Shape 5404"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color w:val="666666"/>
          <w:sz w:val="14"/>
        </w:rPr>
        <w:t xml:space="preserve">(p. 464) </w:t>
      </w:r>
      <w:r>
        <w:rPr>
          <w:rFonts w:cs="Calibri"/>
        </w:rPr>
        <w:t>involve only the operative rules of the legal system? Does it affect the other formants as well? How about the social norms that condition the working of the legal sys</w:t>
      </w:r>
      <w:r>
        <w:t>tem? By focusing on these questions, comparative law facilitates our understanding of how</w:t>
      </w:r>
      <w:r>
        <w:t xml:space="preserve"> continuity and change are often interwoven.</w:t>
      </w:r>
      <w:r>
        <w:rPr>
          <w:vertAlign w:val="superscript"/>
        </w:rPr>
        <w:t>98</w:t>
      </w:r>
    </w:p>
    <w:p w:rsidR="00441B30" w:rsidRDefault="00C96797">
      <w:pPr>
        <w:ind w:left="-5"/>
      </w:pPr>
      <w:r>
        <w:t xml:space="preserve">An approach that helps us understand the variety of elements involved in legal change is </w:t>
      </w:r>
      <w:r>
        <w:rPr>
          <w:rFonts w:cs="Calibri"/>
        </w:rPr>
        <w:t>the notion of legal pluralism. It was first developed to describe the coexistence of custom</w:t>
      </w:r>
      <w:r>
        <w:t>ary, religious, and state-spo</w:t>
      </w:r>
      <w:r>
        <w:t>nsored law in societies where the state was confronted with instances of alternative normativity. Today theories of legal pluralism are also relevant to the study of contemporary legal systems, including those in which traditional customary laws or religio</w:t>
      </w:r>
      <w:r>
        <w:t>us laws occupy a marginal place.</w:t>
      </w:r>
      <w:r>
        <w:rPr>
          <w:vertAlign w:val="superscript"/>
        </w:rPr>
        <w:t>99</w:t>
      </w:r>
      <w:r>
        <w:rPr>
          <w:rFonts w:cs="Calibri"/>
        </w:rPr>
        <w:t xml:space="preserve"> Such theories provide a broad framework within which to discuss legal transplants that may entail a certain degree of diversity among different elements of the same legal system. Contact among different legal or</w:t>
      </w:r>
      <w:r>
        <w:t>ders can r</w:t>
      </w:r>
      <w:r>
        <w:t xml:space="preserve">esult not only in pluralism but also in hybridization when different elements are </w:t>
      </w:r>
      <w:r>
        <w:rPr>
          <w:rFonts w:cs="Calibri"/>
        </w:rPr>
        <w:t>combined into new phenomena that cannot be entirely ascribed to any single point of origin. Legal systems commonly described as ‘mixed’ testify to this possibility, but the r</w:t>
      </w:r>
      <w:r>
        <w:rPr>
          <w:rFonts w:cs="Calibri"/>
        </w:rPr>
        <w:t>ele</w:t>
      </w:r>
      <w:r>
        <w:t>vant phenomena also involve a number of legal systems that are not usually labelled as such.</w:t>
      </w:r>
    </w:p>
    <w:p w:rsidR="00441B30" w:rsidRDefault="00C96797">
      <w:pPr>
        <w:ind w:left="-5"/>
      </w:pPr>
      <w:r>
        <w:rPr>
          <w:rFonts w:cs="Calibri"/>
        </w:rPr>
        <w:t>In all these instances, the language of the law is transformed. The appropriation of for</w:t>
      </w:r>
      <w:r>
        <w:t>eign elements and their introduction into the local context often requir</w:t>
      </w:r>
      <w:r>
        <w:t xml:space="preserve">es the invention of new terminology. Sometimes the reception or transplant of foreign law generates a new legal style. Ultimately, it may bring about a new legal consciousness. The difficulty of </w:t>
      </w:r>
      <w:r>
        <w:rPr>
          <w:rFonts w:cs="Calibri"/>
        </w:rPr>
        <w:t xml:space="preserve">translating legal terminology into the vernacular as well as </w:t>
      </w:r>
      <w:r>
        <w:rPr>
          <w:rFonts w:cs="Calibri"/>
        </w:rPr>
        <w:t>the existence of multiple vocabularies to express new and old concepts may well produce bewilderment and perplexi</w:t>
      </w:r>
      <w:r>
        <w:t>ty.</w:t>
      </w:r>
      <w:r>
        <w:rPr>
          <w:vertAlign w:val="superscript"/>
        </w:rPr>
        <w:t>100</w:t>
      </w:r>
      <w:r>
        <w:rPr>
          <w:rFonts w:cs="Calibri"/>
        </w:rPr>
        <w:t xml:space="preserve"> </w:t>
      </w:r>
      <w:r>
        <w:t>These are symptoms of the challenges encountered when accommodating different frames of reference within a single language. Linguists wh</w:t>
      </w:r>
      <w:r>
        <w:t>o study code-switching could find an ideal field of study here.</w:t>
      </w:r>
    </w:p>
    <w:p w:rsidR="00441B30" w:rsidRDefault="00C96797">
      <w:pPr>
        <w:pStyle w:val="Heading1"/>
        <w:spacing w:after="23" w:line="261" w:lineRule="auto"/>
        <w:ind w:left="0" w:firstLine="0"/>
      </w:pPr>
      <w:r>
        <w:t>VIII.</w:t>
      </w:r>
      <w:r>
        <w:t xml:space="preserve"> Legal Transplants and Receptions as Un</w:t>
      </w:r>
      <w:r>
        <w:t>settling Topics</w:t>
      </w:r>
    </w:p>
    <w:p w:rsidR="00441B30" w:rsidRDefault="00C96797">
      <w:pPr>
        <w:spacing w:after="326"/>
        <w:ind w:left="-5"/>
      </w:pPr>
      <w:r>
        <w:rPr>
          <w:rFonts w:cs="Calibri"/>
          <w:noProof/>
          <w:sz w:val="22"/>
        </w:rPr>
        <mc:AlternateContent>
          <mc:Choice Requires="wpg">
            <w:drawing>
              <wp:anchor distT="0" distB="0" distL="114300" distR="114300" simplePos="0" relativeHeight="251681792" behindDoc="0" locked="0" layoutInCell="1" allowOverlap="1">
                <wp:simplePos x="0" y="0"/>
                <wp:positionH relativeFrom="column">
                  <wp:posOffset>345567</wp:posOffset>
                </wp:positionH>
                <wp:positionV relativeFrom="paragraph">
                  <wp:posOffset>604727</wp:posOffset>
                </wp:positionV>
                <wp:extent cx="436626" cy="142875"/>
                <wp:effectExtent l="0" t="0" r="0" b="0"/>
                <wp:wrapNone/>
                <wp:docPr id="49309" name="Group 49309"/>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491" name="Shape 5491"/>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9309" style="width:34.38pt;height:11.25pt;position:absolute;z-index:38;mso-position-horizontal-relative:text;mso-position-horizontal:absolute;margin-left:27.21pt;mso-position-vertical-relative:text;margin-top:47.6163pt;" coordsize="4366,1428">
                <v:shape id="Shape 5491"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t xml:space="preserve">No matter how often transplants and receptions have occurred over time, the recognition </w:t>
      </w:r>
      <w:r>
        <w:rPr>
          <w:rFonts w:cs="Calibri"/>
        </w:rPr>
        <w:t>of their contribution to the evolution of t</w:t>
      </w:r>
      <w:r>
        <w:rPr>
          <w:rFonts w:cs="Calibri"/>
        </w:rPr>
        <w:t>he world’s legal systems still runs counter to some deeply held convictions about law. One of these convictions concerns the relation</w:t>
      </w:r>
      <w:r>
        <w:t>ship</w:t>
      </w:r>
      <w:r>
        <w:rPr>
          <w:rFonts w:cs="Calibri"/>
        </w:rPr>
        <w:t xml:space="preserve"> </w:t>
      </w:r>
      <w:r>
        <w:rPr>
          <w:rFonts w:cs="Calibri"/>
          <w:color w:val="666666"/>
          <w:sz w:val="14"/>
        </w:rPr>
        <w:t xml:space="preserve">(p. 465) </w:t>
      </w:r>
      <w:r>
        <w:t xml:space="preserve">between law and state authority. For a positivist, law is the expression of the will of the state. It can be </w:t>
      </w:r>
      <w:r>
        <w:t>unsettling to realize that law often comes from outside the state and that its adoption may have little to do with any express decision by state authority. Another conviction concerns the relationship between law and society. According to a long-standing a</w:t>
      </w:r>
      <w:r>
        <w:t xml:space="preserve">nd influential tradition of legal thought, law must reflect the mores and </w:t>
      </w:r>
      <w:r>
        <w:rPr>
          <w:rFonts w:cs="Calibri"/>
        </w:rPr>
        <w:t>culture of a particular society. For adherents of that tradition, it can be unsettling to recognize that much of the law in one society is imported from another. Each of these convic</w:t>
      </w:r>
      <w:r>
        <w:t>tions will be examined in turn.</w:t>
      </w:r>
    </w:p>
    <w:p w:rsidR="00441B30" w:rsidRDefault="00C96797">
      <w:pPr>
        <w:pStyle w:val="Heading2"/>
        <w:ind w:left="-5"/>
      </w:pPr>
      <w:r>
        <w:t>1.</w:t>
      </w:r>
      <w:r>
        <w:t xml:space="preserve"> </w:t>
      </w:r>
      <w:r>
        <w:t>Law and Authority</w:t>
      </w:r>
    </w:p>
    <w:p w:rsidR="00441B30" w:rsidRDefault="00C96797">
      <w:pPr>
        <w:ind w:left="-5"/>
      </w:pPr>
      <w:r>
        <w:t>The recognition of legal transplants and receptions as proper objects of study has been hindered by adherence to legal positivism. Legal transplants and receptions challenge the notion that sovereign pow</w:t>
      </w:r>
      <w:r>
        <w:t>er and political rule determine legal change in all respects.</w:t>
      </w:r>
      <w:r>
        <w:rPr>
          <w:vertAlign w:val="superscript"/>
        </w:rPr>
        <w:t>101</w:t>
      </w:r>
      <w:r>
        <w:rPr>
          <w:rFonts w:cs="Calibri"/>
          <w:vertAlign w:val="superscript"/>
        </w:rPr>
        <w:t xml:space="preserve"> </w:t>
      </w:r>
      <w:r>
        <w:t xml:space="preserve">One response to that challenge might be that the transplants themselves occur because </w:t>
      </w:r>
      <w:r>
        <w:rPr>
          <w:rFonts w:cs="Calibri"/>
        </w:rPr>
        <w:t>the sovereign power has made a decision about what the law should be. From this stand</w:t>
      </w:r>
      <w:r>
        <w:t xml:space="preserve">point, the legislative adoption of a foreign code, for example, is merely legal positivism </w:t>
      </w:r>
      <w:r>
        <w:rPr>
          <w:rFonts w:cs="Calibri"/>
        </w:rPr>
        <w:t>writ large. As mentioned earlier, some transplants do indeed occur because those in au</w:t>
      </w:r>
      <w:r>
        <w:t>thority wish to adopt a solution that has proven itself elsewhere.</w:t>
      </w:r>
    </w:p>
    <w:p w:rsidR="00441B30" w:rsidRDefault="00C96797">
      <w:pPr>
        <w:ind w:left="-5"/>
      </w:pPr>
      <w:r>
        <w:lastRenderedPageBreak/>
        <w:t>Nevertheless</w:t>
      </w:r>
      <w:r>
        <w:t xml:space="preserve">, this view attributes more control over the law to those in authority than they commonly possess. It also fails to recognize that legal transplants concern not only </w:t>
      </w:r>
      <w:r>
        <w:rPr>
          <w:rFonts w:cs="Calibri"/>
        </w:rPr>
        <w:t>rules enacted by the sovereign but also ideals and modes of thought that are highly influ</w:t>
      </w:r>
      <w:r>
        <w:t>e</w:t>
      </w:r>
      <w:r>
        <w:t>ntial without being formally sanctioned.</w:t>
      </w:r>
    </w:p>
    <w:p w:rsidR="00441B30" w:rsidRDefault="00C96797">
      <w:pPr>
        <w:ind w:left="-5"/>
      </w:pPr>
      <w:r>
        <w:rPr>
          <w:rFonts w:cs="Calibri"/>
        </w:rPr>
        <w:t>It is true that even borrowing elements beyond positive rules can be the result of a ratio</w:t>
      </w:r>
      <w:r>
        <w:t>nal decision by those in authority. Careful evaluations are sometimes made of the content of what is borrowed along with fore</w:t>
      </w:r>
      <w:r>
        <w:t xml:space="preserve">casts of the outcome of the experiment triggered by </w:t>
      </w:r>
      <w:r>
        <w:rPr>
          <w:rFonts w:cs="Calibri"/>
        </w:rPr>
        <w:t>the transplant. There is something reassuring in knowing that others have already experi</w:t>
      </w:r>
      <w:r>
        <w:t xml:space="preserve">mented with the element under consideration for adoption. Most transplants, however, are neither the result of such </w:t>
      </w:r>
      <w:r>
        <w:t xml:space="preserve">conscious decisions, nor are they supported by superior knowledge of what is imported. Historically, even proponents of transplants have rarely </w:t>
      </w:r>
      <w:r>
        <w:rPr>
          <w:rFonts w:cs="Calibri"/>
        </w:rPr>
        <w:t>claimed perfect knowledge of what is eventually adopted, nor have they necessarily eval</w:t>
      </w:r>
      <w:r>
        <w:t>uated it thoroughly. In f</w:t>
      </w:r>
      <w:r>
        <w:t xml:space="preserve">act, recourse to a legal transfer can be an open admission of weakness or lack of expertise. This raises the question to what extent even a transplant sanctioned by authority is a clear-sighted decision about what the law should be. How much understanding </w:t>
      </w:r>
      <w:r>
        <w:t>do lawmakers around the world have regarding the implications of their actions? How often do they act in clear recognition of the alternatives? In short, to what extent do those vested with authority really determine the content of the law?</w:t>
      </w:r>
    </w:p>
    <w:p w:rsidR="00441B30" w:rsidRDefault="00C96797">
      <w:pPr>
        <w:ind w:left="-5"/>
      </w:pPr>
      <w:r>
        <w:rPr>
          <w:rFonts w:cs="Calibri"/>
          <w:noProof/>
          <w:sz w:val="22"/>
        </w:rPr>
        <mc:AlternateContent>
          <mc:Choice Requires="wpg">
            <w:drawing>
              <wp:anchor distT="0" distB="0" distL="114300" distR="114300" simplePos="0" relativeHeight="251682816" behindDoc="0" locked="0" layoutInCell="1" allowOverlap="1">
                <wp:simplePos x="0" y="0"/>
                <wp:positionH relativeFrom="column">
                  <wp:posOffset>1580261</wp:posOffset>
                </wp:positionH>
                <wp:positionV relativeFrom="paragraph">
                  <wp:posOffset>1404955</wp:posOffset>
                </wp:positionV>
                <wp:extent cx="436626" cy="142875"/>
                <wp:effectExtent l="0" t="0" r="0" b="0"/>
                <wp:wrapNone/>
                <wp:docPr id="49506" name="Group 49506"/>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583" name="Shape 5583"/>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9506" style="width:34.38pt;height:11.25pt;position:absolute;z-index:40;mso-position-horizontal-relative:text;mso-position-horizontal:absolute;margin-left:124.43pt;mso-position-vertical-relative:text;margin-top:110.626pt;" coordsize="4366,1428">
                <v:shape id="Shape 5583"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rPr>
        <w:t>Moreover, many</w:t>
      </w:r>
      <w:r>
        <w:rPr>
          <w:rFonts w:cs="Calibri"/>
        </w:rPr>
        <w:t xml:space="preserve"> legal transplants are neither mandated by those in authority nor concerned with any practical changes which might be of interest to them. Jurists have devel</w:t>
      </w:r>
      <w:r>
        <w:t>oped models of how people might live in society by choosing to work with a great variety of sources</w:t>
      </w:r>
      <w:r>
        <w:t xml:space="preserve">, many of which are remote or obscure. Often, they have not done so because their aims are realistic or practical or focused on the need to replace one legal rule with </w:t>
      </w:r>
      <w:r>
        <w:rPr>
          <w:rFonts w:cs="Calibri"/>
        </w:rPr>
        <w:t xml:space="preserve">another. Thus, borrowings may reflect the desire to realize a certain ideal more than a </w:t>
      </w:r>
      <w:r>
        <w:rPr>
          <w:rFonts w:cs="Calibri"/>
        </w:rPr>
        <w:t>realistic assessment of what can or should be done. When Roman law was revived by uni</w:t>
      </w:r>
      <w:r>
        <w:t>versity teaching in the</w:t>
      </w:r>
      <w:r>
        <w:rPr>
          <w:rFonts w:cs="Calibri"/>
        </w:rPr>
        <w:t xml:space="preserve"> </w:t>
      </w:r>
      <w:r>
        <w:rPr>
          <w:rFonts w:cs="Calibri"/>
          <w:color w:val="666666"/>
          <w:sz w:val="14"/>
        </w:rPr>
        <w:t xml:space="preserve">(p. 466) </w:t>
      </w:r>
      <w:r>
        <w:rPr>
          <w:rFonts w:cs="Calibri"/>
        </w:rPr>
        <w:t>Middle Ages, it was at first simply a grand ideal. In a simi</w:t>
      </w:r>
      <w:r>
        <w:t>lar vein, natural law was developed as an ideal model to which actual legal or</w:t>
      </w:r>
      <w:r>
        <w:t xml:space="preserve">ders did not necessarily conform. Even today, law students are required to learn positive laws but also to reflect upon what the law should be. Academics regularly develop purely theoretical perspectives in their publications that are completely unrelated </w:t>
      </w:r>
      <w:r>
        <w:t xml:space="preserve">to the practice of law in </w:t>
      </w:r>
      <w:r>
        <w:rPr>
          <w:rFonts w:cs="Calibri"/>
        </w:rPr>
        <w:t xml:space="preserve">their jurisdiction (or, indeed, in any jurisdiction). These are not anomalies—there are </w:t>
      </w:r>
      <w:r>
        <w:t>countless legal norms across the world that set ideals or goals to be attained rather than rules to be followed. The law is deeply involved wi</w:t>
      </w:r>
      <w:r>
        <w:t>th matters of principle,</w:t>
      </w:r>
      <w:r>
        <w:rPr>
          <w:vertAlign w:val="superscript"/>
        </w:rPr>
        <w:t>102</w:t>
      </w:r>
      <w:r>
        <w:rPr>
          <w:rFonts w:cs="Calibri"/>
        </w:rPr>
        <w:t xml:space="preserve"> </w:t>
      </w:r>
      <w:r>
        <w:t xml:space="preserve">as well as </w:t>
      </w:r>
      <w:r>
        <w:rPr>
          <w:rFonts w:cs="Calibri"/>
        </w:rPr>
        <w:t>with more mundane considerations. The study of legal transplants and receptions high</w:t>
      </w:r>
      <w:r>
        <w:t xml:space="preserve">lights this reality, and it is important to understand it if we are to grasp the way in which </w:t>
      </w:r>
      <w:r>
        <w:rPr>
          <w:rFonts w:cs="Calibri"/>
        </w:rPr>
        <w:t>legal transfers change the law. They ne</w:t>
      </w:r>
      <w:r>
        <w:rPr>
          <w:rFonts w:cs="Calibri"/>
        </w:rPr>
        <w:t>ed not do so because sovereign authority man</w:t>
      </w:r>
      <w:r>
        <w:t>dates some specific change, and they also highlight the gap between transplanting formal legal sources and transmitting tacit assumptions about law.</w:t>
      </w:r>
    </w:p>
    <w:p w:rsidR="00441B30" w:rsidRDefault="00C96797">
      <w:pPr>
        <w:ind w:left="-5"/>
      </w:pPr>
      <w:r>
        <w:t xml:space="preserve">Even when those vested with authority have decided what law to </w:t>
      </w:r>
      <w:r>
        <w:t xml:space="preserve">import, the process of adaptation to the local environment will often add new and unexpected elements to the import. This is inevitable. It makes little sense to view these additions as distortions of the </w:t>
      </w:r>
      <w:r>
        <w:rPr>
          <w:rFonts w:cs="Calibri"/>
        </w:rPr>
        <w:t>original model that would inexplicably fail to be r</w:t>
      </w:r>
      <w:r>
        <w:rPr>
          <w:rFonts w:cs="Calibri"/>
        </w:rPr>
        <w:t>eproduced locally. Although we commonly speak of ‘adaptation’ to denote this process of transformation, the expression must not mislead us. Sometimes these ‘adaptations’ actually increase the functionality of the import, but there are also ‘adaptations’ th</w:t>
      </w:r>
      <w:r>
        <w:rPr>
          <w:rFonts w:cs="Calibri"/>
        </w:rPr>
        <w:t>at are not ‘functional’ at all. Some reflect resistance to the import while others simply result from quirks of history. Be that as it may, im</w:t>
      </w:r>
      <w:r>
        <w:t>ports are rarely received passively and any innovation faces challenges by forces that may resist change. In the w</w:t>
      </w:r>
      <w:r>
        <w:t>orld of law, just as in the physical world, there is no action without reaction.</w:t>
      </w:r>
    </w:p>
    <w:p w:rsidR="00441B30" w:rsidRDefault="00C96797">
      <w:pPr>
        <w:spacing w:after="0"/>
        <w:ind w:left="-5"/>
      </w:pPr>
      <w:r>
        <w:lastRenderedPageBreak/>
        <w:t>Thus, those vested with state authority are limited in their control of what the law is. That they are limited in these ways is perfectly consistent with the role a positivist</w:t>
      </w:r>
      <w:r>
        <w:t xml:space="preserve"> ascribes to them: they possess authority and, indeed, sovereign authority. If that is all a positivist claims, legal transplants should not be unsettling. But they are unsettling if the positivist claims that the content of the law is merely what the sove</w:t>
      </w:r>
      <w:r>
        <w:t xml:space="preserve">reign has decided it should be. </w:t>
      </w:r>
    </w:p>
    <w:p w:rsidR="00441B30" w:rsidRDefault="00C96797">
      <w:pPr>
        <w:ind w:left="-5"/>
      </w:pPr>
      <w:r>
        <w:t>Transplants and receptions prove otherwise.</w:t>
      </w:r>
    </w:p>
    <w:p w:rsidR="00441B30" w:rsidRDefault="00C96797">
      <w:pPr>
        <w:pStyle w:val="Heading2"/>
        <w:ind w:left="-5"/>
      </w:pPr>
      <w:r>
        <w:t>2.</w:t>
      </w:r>
      <w:r>
        <w:t xml:space="preserve"> </w:t>
      </w:r>
      <w:r>
        <w:t>Law and Society</w:t>
      </w:r>
    </w:p>
    <w:p w:rsidR="00441B30" w:rsidRDefault="00C96797">
      <w:pPr>
        <w:ind w:left="-5"/>
      </w:pPr>
      <w:r>
        <w:t xml:space="preserve">Legal transplants can also be unsettling to those who believe that law must reflect the </w:t>
      </w:r>
      <w:r>
        <w:rPr>
          <w:rFonts w:cs="Calibri"/>
        </w:rPr>
        <w:t xml:space="preserve">mores and culture of a particular society. When law is transplanted, it </w:t>
      </w:r>
      <w:r>
        <w:rPr>
          <w:rFonts w:cs="Calibri"/>
        </w:rPr>
        <w:t>passes from one so</w:t>
      </w:r>
      <w:r>
        <w:t xml:space="preserve">ciety to another. To be sure, if all one believes is that the culture of a society is one force </w:t>
      </w:r>
      <w:r>
        <w:rPr>
          <w:rFonts w:cs="Calibri"/>
        </w:rPr>
        <w:t xml:space="preserve">among many that influence the law’s contents, there is nothing unsettling about that. But </w:t>
      </w:r>
      <w:r>
        <w:t>if law is considered inextricably bound and determin</w:t>
      </w:r>
      <w:r>
        <w:t>ed by social and cultural factors, transplants and receptions become a problem.</w:t>
      </w:r>
    </w:p>
    <w:p w:rsidR="00441B30" w:rsidRDefault="00C96797">
      <w:pPr>
        <w:ind w:left="-5"/>
      </w:pPr>
      <w:r>
        <w:rPr>
          <w:rFonts w:cs="Calibri"/>
          <w:noProof/>
          <w:sz w:val="22"/>
        </w:rPr>
        <mc:AlternateContent>
          <mc:Choice Requires="wpg">
            <w:drawing>
              <wp:anchor distT="0" distB="0" distL="114300" distR="114300" simplePos="0" relativeHeight="251683840" behindDoc="0" locked="0" layoutInCell="1" allowOverlap="1">
                <wp:simplePos x="0" y="0"/>
                <wp:positionH relativeFrom="column">
                  <wp:posOffset>256794</wp:posOffset>
                </wp:positionH>
                <wp:positionV relativeFrom="paragraph">
                  <wp:posOffset>604727</wp:posOffset>
                </wp:positionV>
                <wp:extent cx="436499" cy="142875"/>
                <wp:effectExtent l="0" t="0" r="0" b="0"/>
                <wp:wrapNone/>
                <wp:docPr id="49862" name="Group 49862"/>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5678" name="Shape 5678"/>
                        <wps:cNvSpPr/>
                        <wps:spPr>
                          <a:xfrm>
                            <a:off x="0" y="0"/>
                            <a:ext cx="436499" cy="142875"/>
                          </a:xfrm>
                          <a:custGeom>
                            <a:avLst/>
                            <a:gdLst/>
                            <a:ahLst/>
                            <a:cxnLst/>
                            <a:rect l="0" t="0" r="0" b="0"/>
                            <a:pathLst>
                              <a:path w="436499" h="142875">
                                <a:moveTo>
                                  <a:pt x="28575" y="0"/>
                                </a:moveTo>
                                <a:cubicBezTo>
                                  <a:pt x="28575" y="0"/>
                                  <a:pt x="28575" y="0"/>
                                  <a:pt x="407924" y="0"/>
                                </a:cubicBezTo>
                                <a:cubicBezTo>
                                  <a:pt x="423799" y="0"/>
                                  <a:pt x="436499" y="12827"/>
                                  <a:pt x="436499" y="28575"/>
                                </a:cubicBezTo>
                                <a:cubicBezTo>
                                  <a:pt x="436499" y="28575"/>
                                  <a:pt x="436499" y="28575"/>
                                  <a:pt x="436499" y="114300"/>
                                </a:cubicBezTo>
                                <a:cubicBezTo>
                                  <a:pt x="436499" y="130175"/>
                                  <a:pt x="423799" y="142875"/>
                                  <a:pt x="407924" y="142875"/>
                                </a:cubicBezTo>
                                <a:cubicBezTo>
                                  <a:pt x="407924" y="142875"/>
                                  <a:pt x="407924"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9862" style="width:34.37pt;height:11.25pt;position:absolute;z-index:47;mso-position-horizontal-relative:text;mso-position-horizontal:absolute;margin-left:20.22pt;mso-position-vertical-relative:text;margin-top:47.6163pt;" coordsize="4364,1428">
                <v:shape id="Shape 5678" style="position:absolute;width:4364;height:1428;left:0;top:0;" coordsize="436499,142875" path="m28575,0c28575,0,28575,0,407924,0c423799,0,436499,12827,436499,28575c436499,28575,436499,28575,436499,114300c436499,130175,423799,142875,407924,142875c407924,142875,407924,142875,28575,142875c12827,142875,0,130175,0,114300l0,28575c0,12827,12827,0,28575,0x">
                  <v:stroke weight="0pt" endcap="square" joinstyle="miter" miterlimit="10" on="false" color="#000000" opacity="0"/>
                  <v:fill on="true" color="#e3e3e3"/>
                </v:shape>
              </v:group>
            </w:pict>
          </mc:Fallback>
        </mc:AlternateContent>
      </w:r>
      <w:r>
        <w:t xml:space="preserve">The common stock of ideas that most lawyers share about the relationship between law </w:t>
      </w:r>
      <w:r>
        <w:rPr>
          <w:rFonts w:cs="Calibri"/>
        </w:rPr>
        <w:t xml:space="preserve">and society has been shaped by some grand narratives. Montesquieu’s great work on </w:t>
      </w:r>
      <w:r>
        <w:rPr>
          <w:rFonts w:cs="Calibri"/>
          <w:i/>
        </w:rPr>
        <w:t>The Spir</w:t>
      </w:r>
      <w:r>
        <w:rPr>
          <w:rFonts w:cs="Calibri"/>
          <w:i/>
        </w:rPr>
        <w:t>it of the Laws</w:t>
      </w:r>
      <w:r>
        <w:rPr>
          <w:rFonts w:cs="Calibri"/>
        </w:rPr>
        <w:t xml:space="preserve"> </w:t>
      </w:r>
      <w:r>
        <w:t>(1748) has foundational value for comparative legal studies as well as for</w:t>
      </w:r>
      <w:r>
        <w:rPr>
          <w:rFonts w:cs="Calibri"/>
        </w:rPr>
        <w:t xml:space="preserve"> </w:t>
      </w:r>
      <w:r>
        <w:rPr>
          <w:rFonts w:cs="Calibri"/>
          <w:color w:val="666666"/>
          <w:sz w:val="14"/>
        </w:rPr>
        <w:t xml:space="preserve">(p. 467) </w:t>
      </w:r>
      <w:r>
        <w:rPr>
          <w:rFonts w:cs="Calibri"/>
        </w:rPr>
        <w:t>sociology. It is often cited to support the view that legal transplants and receptions have no influence on the evolution of legal systems, since for Montesq</w:t>
      </w:r>
      <w:r>
        <w:rPr>
          <w:rFonts w:cs="Calibri"/>
        </w:rPr>
        <w:t>uieu, it was ‘a great coincidence’ if the laws of one nation actually suited another. Accordingly, the fac</w:t>
      </w:r>
      <w:r>
        <w:t>tors shaping the evolution of the law would be inextricably linked with forces at work on the local level, which Montesquieu duly listed.</w:t>
      </w:r>
      <w:r>
        <w:rPr>
          <w:vertAlign w:val="superscript"/>
        </w:rPr>
        <w:t>103</w:t>
      </w:r>
      <w:r>
        <w:rPr>
          <w:rFonts w:cs="Calibri"/>
        </w:rPr>
        <w:t xml:space="preserve"> </w:t>
      </w:r>
      <w:r>
        <w:t xml:space="preserve">But when </w:t>
      </w:r>
      <w:r>
        <w:t>reading Montesquieu, let us not miss a point often overlooked by his commentators. His argument against transplants was just that: an argument. Montesquieu was</w:t>
      </w:r>
      <w:r>
        <w:rPr>
          <w:rFonts w:cs="Calibri"/>
        </w:rPr>
        <w:t xml:space="preserve"> </w:t>
      </w:r>
      <w:r>
        <w:rPr>
          <w:rFonts w:cs="Calibri"/>
          <w:i/>
        </w:rPr>
        <w:t>arguing</w:t>
      </w:r>
      <w:r>
        <w:rPr>
          <w:rFonts w:cs="Calibri"/>
        </w:rPr>
        <w:t xml:space="preserve"> </w:t>
      </w:r>
      <w:r>
        <w:t>against the advisability of legal transplants rather than coldly observing their failure</w:t>
      </w:r>
      <w:r>
        <w:t>, or their impossibility. His point was normative, not descriptive. The Roman law was still applicable in much of France, and his approach tended to undermine the universal claims of Roman law as</w:t>
      </w:r>
      <w:r>
        <w:rPr>
          <w:rFonts w:cs="Calibri"/>
        </w:rPr>
        <w:t xml:space="preserve"> </w:t>
      </w:r>
      <w:r>
        <w:rPr>
          <w:rFonts w:cs="Calibri"/>
          <w:i/>
        </w:rPr>
        <w:t>ratio scripta</w:t>
      </w:r>
      <w:r>
        <w:t>.</w:t>
      </w:r>
      <w:r>
        <w:rPr>
          <w:vertAlign w:val="superscript"/>
        </w:rPr>
        <w:t>104</w:t>
      </w:r>
    </w:p>
    <w:p w:rsidR="00441B30" w:rsidRDefault="00C96797">
      <w:pPr>
        <w:ind w:left="-5"/>
      </w:pPr>
      <w:r>
        <w:rPr>
          <w:rFonts w:cs="Calibri"/>
        </w:rPr>
        <w:t>In the first half of the nineteenth centur</w:t>
      </w:r>
      <w:r>
        <w:rPr>
          <w:rFonts w:cs="Calibri"/>
        </w:rPr>
        <w:t>y, Savigny conceptualized the relationship be</w:t>
      </w:r>
      <w:r>
        <w:t>tween law and culture along similar lines, but he added a romantic twist and presented Roman law as an inextricable part of the German legal tradition. After Montesquieu and Savigny, the idea of an organic conne</w:t>
      </w:r>
      <w:r>
        <w:t>ction between the law and the particular character of the people gained immense popularity. It became standard fare in European legal thought.</w:t>
      </w:r>
      <w:r>
        <w:rPr>
          <w:vertAlign w:val="superscript"/>
        </w:rPr>
        <w:t>105</w:t>
      </w:r>
      <w:r>
        <w:rPr>
          <w:rFonts w:cs="Calibri"/>
        </w:rPr>
        <w:t xml:space="preserve"> </w:t>
      </w:r>
      <w:r>
        <w:t xml:space="preserve">Incredibly, this idea won recognition just when waves of legal transplants on a </w:t>
      </w:r>
      <w:r>
        <w:rPr>
          <w:rFonts w:cs="Calibri"/>
        </w:rPr>
        <w:t>world scale occurred—without the paradox being noticed.</w:t>
      </w:r>
    </w:p>
    <w:p w:rsidR="00441B30" w:rsidRDefault="00C96797">
      <w:pPr>
        <w:ind w:left="-5"/>
      </w:pPr>
      <w:r>
        <w:rPr>
          <w:rFonts w:cs="Calibri"/>
        </w:rPr>
        <w:t>In due time, sociology, emerging from the tradition inaugurated by Montesquieu, em</w:t>
      </w:r>
      <w:r>
        <w:t xml:space="preserve">braced the notion that law reflects conditions of society. Thus, in his classic work on the division of labour, Emile </w:t>
      </w:r>
      <w:r>
        <w:t>Durkheim argued that the law is an index or mirror of society.</w:t>
      </w:r>
      <w:r>
        <w:rPr>
          <w:vertAlign w:val="superscript"/>
        </w:rPr>
        <w:t>106</w:t>
      </w:r>
      <w:r>
        <w:rPr>
          <w:rFonts w:cs="Calibri"/>
          <w:vertAlign w:val="superscript"/>
        </w:rPr>
        <w:t xml:space="preserve"> </w:t>
      </w:r>
      <w:r>
        <w:rPr>
          <w:rFonts w:cs="Calibri"/>
        </w:rPr>
        <w:t>Eventually, the inconsistencies, contradictions, tensions, and vagaries in the law-and-soci</w:t>
      </w:r>
      <w:r>
        <w:t xml:space="preserve">ety story became too obvious to go unchallenged. For a while, facts that did not fit the </w:t>
      </w:r>
      <w:r>
        <w:rPr>
          <w:rFonts w:cs="Calibri"/>
        </w:rPr>
        <w:t>model coul</w:t>
      </w:r>
      <w:r>
        <w:rPr>
          <w:rFonts w:cs="Calibri"/>
        </w:rPr>
        <w:t>d be explained away as due to time-lag or transition or as peculiar to a particu</w:t>
      </w:r>
      <w:r>
        <w:t>lar historical period of development. Ultimately, however, the disparity between model and fact could no longer be ignored or side-stepped.</w:t>
      </w:r>
    </w:p>
    <w:p w:rsidR="00441B30" w:rsidRDefault="00C96797">
      <w:pPr>
        <w:spacing w:after="193" w:line="327" w:lineRule="auto"/>
        <w:ind w:left="-5"/>
      </w:pPr>
      <w:r>
        <w:rPr>
          <w:rFonts w:cs="Calibri"/>
        </w:rPr>
        <w:t>Today, the explanatory power of that</w:t>
      </w:r>
      <w:r>
        <w:rPr>
          <w:rFonts w:cs="Calibri"/>
        </w:rPr>
        <w:t xml:space="preserve"> model is doubtful. This is partially due to the fragmentation of our notions of ‘society’ and ‘community’, which is now a common theme </w:t>
      </w:r>
      <w:r>
        <w:t>among anthropologists and sociologists investigating law.</w:t>
      </w:r>
      <w:r>
        <w:rPr>
          <w:vertAlign w:val="superscript"/>
        </w:rPr>
        <w:t>107</w:t>
      </w:r>
    </w:p>
    <w:p w:rsidR="00441B30" w:rsidRDefault="00C96797">
      <w:pPr>
        <w:ind w:left="-5"/>
      </w:pPr>
      <w:r>
        <w:rPr>
          <w:rFonts w:cs="Calibri"/>
          <w:noProof/>
          <w:sz w:val="22"/>
        </w:rPr>
        <w:lastRenderedPageBreak/>
        <mc:AlternateContent>
          <mc:Choice Requires="wpg">
            <w:drawing>
              <wp:anchor distT="0" distB="0" distL="114300" distR="114300" simplePos="0" relativeHeight="251684864" behindDoc="0" locked="0" layoutInCell="1" allowOverlap="1">
                <wp:simplePos x="0" y="0"/>
                <wp:positionH relativeFrom="column">
                  <wp:posOffset>1121156</wp:posOffset>
                </wp:positionH>
                <wp:positionV relativeFrom="paragraph">
                  <wp:posOffset>1604980</wp:posOffset>
                </wp:positionV>
                <wp:extent cx="436499" cy="142875"/>
                <wp:effectExtent l="0" t="0" r="0" b="0"/>
                <wp:wrapNone/>
                <wp:docPr id="49779" name="Group 49779"/>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5782" name="Shape 5782"/>
                        <wps:cNvSpPr/>
                        <wps:spPr>
                          <a:xfrm>
                            <a:off x="0" y="0"/>
                            <a:ext cx="436499" cy="142875"/>
                          </a:xfrm>
                          <a:custGeom>
                            <a:avLst/>
                            <a:gdLst/>
                            <a:ahLst/>
                            <a:cxnLst/>
                            <a:rect l="0" t="0" r="0" b="0"/>
                            <a:pathLst>
                              <a:path w="436499" h="142875">
                                <a:moveTo>
                                  <a:pt x="28575" y="0"/>
                                </a:moveTo>
                                <a:cubicBezTo>
                                  <a:pt x="28575" y="0"/>
                                  <a:pt x="28575" y="0"/>
                                  <a:pt x="407924" y="0"/>
                                </a:cubicBezTo>
                                <a:cubicBezTo>
                                  <a:pt x="423799" y="0"/>
                                  <a:pt x="436499" y="12700"/>
                                  <a:pt x="436499" y="28575"/>
                                </a:cubicBezTo>
                                <a:cubicBezTo>
                                  <a:pt x="436499" y="28575"/>
                                  <a:pt x="436499" y="28575"/>
                                  <a:pt x="436499" y="114300"/>
                                </a:cubicBezTo>
                                <a:cubicBezTo>
                                  <a:pt x="436499" y="130048"/>
                                  <a:pt x="423799" y="142875"/>
                                  <a:pt x="407924" y="142875"/>
                                </a:cubicBezTo>
                                <a:cubicBezTo>
                                  <a:pt x="407924" y="142875"/>
                                  <a:pt x="407924"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9779" style="width:34.37pt;height:11.25pt;position:absolute;z-index:39;mso-position-horizontal-relative:text;mso-position-horizontal:absolute;margin-left:88.28pt;mso-position-vertical-relative:text;margin-top:126.376pt;" coordsize="4364,1428">
                <v:shape id="Shape 5782" style="position:absolute;width:4364;height:1428;left:0;top:0;" coordsize="436499,142875" path="m28575,0c28575,0,28575,0,407924,0c423799,0,436499,12700,436499,28575c436499,28575,436499,28575,436499,114300c436499,130048,423799,142875,407924,142875c407924,142875,407924,142875,28575,142875c12827,142875,0,130048,0,114300l0,28575c0,12700,12827,0,28575,0x">
                  <v:stroke weight="0pt" endcap="square" joinstyle="miter" miterlimit="10" on="false" color="#000000" opacity="0"/>
                  <v:fill on="true" color="#e3e3e3"/>
                </v:shape>
              </v:group>
            </w:pict>
          </mc:Fallback>
        </mc:AlternateContent>
      </w:r>
      <w:r>
        <w:rPr>
          <w:rFonts w:cs="Calibri"/>
        </w:rPr>
        <w:t>It is also notoriously difficult to make precise empirical</w:t>
      </w:r>
      <w:r>
        <w:rPr>
          <w:rFonts w:cs="Calibri"/>
        </w:rPr>
        <w:t xml:space="preserve"> claims about the relationship between law and society. Even quantitative studies on specific issues are facing the prover</w:t>
      </w:r>
      <w:r>
        <w:t>bial chicken and egg question. It would be naïve to assume that whatever keeps society together is always disturbed by the changes tri</w:t>
      </w:r>
      <w:r>
        <w:t xml:space="preserve">ggered by transplants and receptions, at least when they are not imposed. If those changes are a regular occurrence in the history </w:t>
      </w:r>
      <w:r>
        <w:rPr>
          <w:rFonts w:cs="Calibri"/>
        </w:rPr>
        <w:t xml:space="preserve">of mankind, they cannot be thought of as more ‘artificial’ than the supposedly ‘organic’ </w:t>
      </w:r>
      <w:r>
        <w:t>ones. It is also naïve to think that</w:t>
      </w:r>
      <w:r>
        <w:t xml:space="preserve"> a legal innovation is bound to take firmer roots where it was first produced, rather than elsewhere. Countless legislative projects have aborted in their country of</w:t>
      </w:r>
      <w:r>
        <w:rPr>
          <w:rFonts w:cs="Calibri"/>
        </w:rPr>
        <w:t xml:space="preserve"> </w:t>
      </w:r>
      <w:r>
        <w:rPr>
          <w:rFonts w:cs="Calibri"/>
          <w:color w:val="666666"/>
          <w:sz w:val="14"/>
        </w:rPr>
        <w:t xml:space="preserve">(p. 468) </w:t>
      </w:r>
      <w:r>
        <w:t>origin but succeeded abroad.</w:t>
      </w:r>
      <w:r>
        <w:rPr>
          <w:vertAlign w:val="superscript"/>
        </w:rPr>
        <w:t>108</w:t>
      </w:r>
      <w:r>
        <w:rPr>
          <w:rFonts w:cs="Calibri"/>
        </w:rPr>
        <w:t xml:space="preserve"> </w:t>
      </w:r>
      <w:r>
        <w:t>Conversely, in some places, local innovations imp</w:t>
      </w:r>
      <w:r>
        <w:t>rove their chance of acceptance when they come dressed up in foreign clothes.</w:t>
      </w:r>
    </w:p>
    <w:p w:rsidR="00441B30" w:rsidRDefault="00C96797">
      <w:pPr>
        <w:spacing w:after="227" w:line="327" w:lineRule="auto"/>
        <w:ind w:left="-5"/>
      </w:pPr>
      <w:r>
        <w:t xml:space="preserve">The idea that legal transplants and receptions play a major role in producing legal change has some opponents. Foremost among them is Pierre Legrand, who rests his claim not on </w:t>
      </w:r>
      <w:r>
        <w:rPr>
          <w:rFonts w:cs="Calibri"/>
        </w:rPr>
        <w:t>a theory of how societies are constituted but on a denial that law can move fro</w:t>
      </w:r>
      <w:r>
        <w:rPr>
          <w:rFonts w:cs="Calibri"/>
        </w:rPr>
        <w:t>m one soci</w:t>
      </w:r>
      <w:r>
        <w:t>ety to another without a change in content.</w:t>
      </w:r>
      <w:r>
        <w:rPr>
          <w:vertAlign w:val="superscript"/>
        </w:rPr>
        <w:t>109</w:t>
      </w:r>
      <w:r>
        <w:rPr>
          <w:rFonts w:cs="Calibri"/>
        </w:rPr>
        <w:t xml:space="preserve"> For Legrand, law does not have a determinate content apart from a given culture. Therefore, it cannot have the same content outside the community that first establishes it; thus it makes no sense to </w:t>
      </w:r>
      <w:r>
        <w:rPr>
          <w:rFonts w:cs="Calibri"/>
        </w:rPr>
        <w:t>speak of legal transplants. Legrand argues that every language and every culture produces indigenous sys</w:t>
      </w:r>
      <w:r>
        <w:t xml:space="preserve">tems of meaning and world-views. These are bound to interfere with the very attempt to </w:t>
      </w:r>
      <w:r>
        <w:rPr>
          <w:rFonts w:cs="Calibri"/>
        </w:rPr>
        <w:t>transfer law and will ultimately render such a transfer impossibl</w:t>
      </w:r>
      <w:r>
        <w:rPr>
          <w:rFonts w:cs="Calibri"/>
        </w:rPr>
        <w:t>e. If comparative law ig</w:t>
      </w:r>
      <w:r>
        <w:t xml:space="preserve">nores the significance of cultural diversity and difference, it can only approach the matter </w:t>
      </w:r>
      <w:r>
        <w:rPr>
          <w:rFonts w:cs="Calibri"/>
        </w:rPr>
        <w:t>in a bookish or technical fashion, which is what Legrand sees in Watson’s work on trans</w:t>
      </w:r>
      <w:r>
        <w:t>plants.</w:t>
      </w:r>
      <w:r>
        <w:rPr>
          <w:vertAlign w:val="superscript"/>
        </w:rPr>
        <w:t>110</w:t>
      </w:r>
      <w:r>
        <w:rPr>
          <w:rFonts w:cs="Calibri"/>
        </w:rPr>
        <w:t xml:space="preserve"> Moreover, Legrand claims, Watson’s approa</w:t>
      </w:r>
      <w:r>
        <w:rPr>
          <w:rFonts w:cs="Calibri"/>
        </w:rPr>
        <w:t>ch is inherently conservative because it ‘lacks any critical vocation’.</w:t>
      </w:r>
      <w:r>
        <w:rPr>
          <w:vertAlign w:val="superscript"/>
        </w:rPr>
        <w:t>111</w:t>
      </w:r>
    </w:p>
    <w:p w:rsidR="00441B30" w:rsidRDefault="00C96797">
      <w:pPr>
        <w:ind w:left="-5"/>
      </w:pPr>
      <w:r>
        <w:rPr>
          <w:rFonts w:cs="Calibri"/>
        </w:rPr>
        <w:t>The argument that Watson’s approach is conservative and may, therefore, promote unde</w:t>
      </w:r>
      <w:r>
        <w:t xml:space="preserve">sirable political agendas can be dismissed rather quickly. Indeed, it can be turned on its </w:t>
      </w:r>
      <w:r>
        <w:rPr>
          <w:rFonts w:cs="Calibri"/>
        </w:rPr>
        <w:t xml:space="preserve">head: </w:t>
      </w:r>
      <w:r>
        <w:rPr>
          <w:rFonts w:cs="Calibri"/>
        </w:rPr>
        <w:t>one can use Watson’s approach just as well to develop a democratic critique of rul</w:t>
      </w:r>
      <w:r>
        <w:t>ing elites.</w:t>
      </w:r>
      <w:r>
        <w:rPr>
          <w:vertAlign w:val="superscript"/>
        </w:rPr>
        <w:t>112</w:t>
      </w:r>
      <w:r>
        <w:rPr>
          <w:rFonts w:cs="Calibri"/>
        </w:rPr>
        <w:t xml:space="preserve"> </w:t>
      </w:r>
      <w:r>
        <w:t>The study of transplants and receptions can be a tool to debunk ideological perceptions of legal orders on a world scale.</w:t>
      </w:r>
    </w:p>
    <w:p w:rsidR="00441B30" w:rsidRDefault="00C96797">
      <w:pPr>
        <w:spacing w:after="178"/>
        <w:ind w:left="-5"/>
      </w:pPr>
      <w:r>
        <w:rPr>
          <w:rFonts w:cs="Calibri"/>
        </w:rPr>
        <w:t>Closer consideration is owed to Legra</w:t>
      </w:r>
      <w:r>
        <w:rPr>
          <w:rFonts w:cs="Calibri"/>
        </w:rPr>
        <w:t>nd’s larger claim that law does not have a determi</w:t>
      </w:r>
      <w:r>
        <w:t>nate content apart from a given culture. Surely when cultural differences are ignored, the focus on receptions and legal transplants can lead to facile overrating of similarities among legal systems, which,</w:t>
      </w:r>
      <w:r>
        <w:t xml:space="preserve"> is of course, the real problem. Here, comparatists should be </w:t>
      </w:r>
      <w:r>
        <w:rPr>
          <w:rFonts w:cs="Calibri"/>
        </w:rPr>
        <w:t>mindful of a simple truth: ‘Once everything is the same, comparison will be impossible, or at any rate impossibly boring’.</w:t>
      </w:r>
      <w:r>
        <w:rPr>
          <w:vertAlign w:val="superscript"/>
        </w:rPr>
        <w:t>113</w:t>
      </w:r>
      <w:r>
        <w:rPr>
          <w:rFonts w:cs="Calibri"/>
        </w:rPr>
        <w:t xml:space="preserve"> </w:t>
      </w:r>
      <w:r>
        <w:t>All comparatists whose motto is</w:t>
      </w:r>
      <w:r>
        <w:rPr>
          <w:rFonts w:cs="Calibri"/>
        </w:rPr>
        <w:t xml:space="preserve"> </w:t>
      </w:r>
      <w:r>
        <w:rPr>
          <w:rFonts w:cs="Calibri"/>
          <w:i/>
        </w:rPr>
        <w:t>vive la difference!</w:t>
      </w:r>
      <w:r>
        <w:rPr>
          <w:rFonts w:cs="Calibri"/>
        </w:rPr>
        <w:t xml:space="preserve"> </w:t>
      </w:r>
      <w:r>
        <w:t xml:space="preserve">will </w:t>
      </w:r>
      <w:r>
        <w:rPr>
          <w:rFonts w:cs="Calibri"/>
        </w:rPr>
        <w:t>welcome Leg</w:t>
      </w:r>
      <w:r>
        <w:rPr>
          <w:rFonts w:cs="Calibri"/>
        </w:rPr>
        <w:t>rand’s resistance to such an approach.</w:t>
      </w:r>
    </w:p>
    <w:p w:rsidR="00441B30" w:rsidRDefault="00C96797">
      <w:pPr>
        <w:ind w:left="-15" w:firstLine="135"/>
      </w:pPr>
      <w:r>
        <w:rPr>
          <w:rFonts w:cs="Calibri"/>
          <w:noProof/>
          <w:sz w:val="22"/>
        </w:rPr>
        <mc:AlternateContent>
          <mc:Choice Requires="wpg">
            <w:drawing>
              <wp:anchor distT="0" distB="0" distL="114300" distR="114300" simplePos="0" relativeHeight="251685888" behindDoc="0" locked="0" layoutInCell="1" allowOverlap="1">
                <wp:simplePos x="0" y="0"/>
                <wp:positionH relativeFrom="column">
                  <wp:posOffset>28575</wp:posOffset>
                </wp:positionH>
                <wp:positionV relativeFrom="paragraph">
                  <wp:posOffset>3208</wp:posOffset>
                </wp:positionV>
                <wp:extent cx="436626" cy="142875"/>
                <wp:effectExtent l="0" t="0" r="0" b="0"/>
                <wp:wrapNone/>
                <wp:docPr id="49780" name="Group 49780"/>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833" name="Shape 5833"/>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49780" style="width:34.38pt;height:11.25pt;position:absolute;z-index:90;mso-position-horizontal-relative:text;mso-position-horizontal:absolute;margin-left:2.25pt;mso-position-vertical-relative:text;margin-top:0.252563pt;" coordsize="4366,1428">
                <v:shape id="Shape 5833"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color w:val="666666"/>
          <w:sz w:val="14"/>
        </w:rPr>
        <w:t xml:space="preserve">(p. 469) </w:t>
      </w:r>
      <w:r>
        <w:t xml:space="preserve">Nevertheless, it is far from clear that the transfer of law from one community to another is impossible. Ultimately, such a view rests on a claim about language and a claim about culture, both of which need </w:t>
      </w:r>
      <w:r>
        <w:t>to be examined more closely.</w:t>
      </w:r>
    </w:p>
    <w:p w:rsidR="00441B30" w:rsidRDefault="00C96797">
      <w:pPr>
        <w:ind w:left="-5"/>
      </w:pPr>
      <w:r>
        <w:t>The claim about language is that it is so bound to culture that the terms of one language cannot have the same meaning in another. Natural languages to some extent divide the world in different ways, as many have noticed. Still</w:t>
      </w:r>
      <w:r>
        <w:t>, languages have an open and evolving character that allows for linguistic change and cross-cultural communication. Research on cognition mechanisms contradicts the idea that cultures are cages.</w:t>
      </w:r>
      <w:r>
        <w:rPr>
          <w:vertAlign w:val="superscript"/>
        </w:rPr>
        <w:t>114</w:t>
      </w:r>
      <w:r>
        <w:rPr>
          <w:rFonts w:cs="Calibri"/>
        </w:rPr>
        <w:t xml:space="preserve"> </w:t>
      </w:r>
      <w:r>
        <w:t xml:space="preserve">Several legal </w:t>
      </w:r>
      <w:r>
        <w:rPr>
          <w:rFonts w:cs="Calibri"/>
        </w:rPr>
        <w:t>systems have multilingual laws, hence the sa</w:t>
      </w:r>
      <w:r>
        <w:rPr>
          <w:rFonts w:cs="Calibri"/>
        </w:rPr>
        <w:t>me norms can be expressed in several lan</w:t>
      </w:r>
      <w:r>
        <w:t>guages, as it happens when the EU enacts new legislation. The question whether cross-</w:t>
      </w:r>
      <w:r>
        <w:rPr>
          <w:rFonts w:cs="Calibri"/>
        </w:rPr>
        <w:t xml:space="preserve"> border communication can ever be ‘complete’ assumes that there can be ‘complete’ communication within any single linguistic system</w:t>
      </w:r>
      <w:r>
        <w:rPr>
          <w:rFonts w:cs="Calibri"/>
        </w:rPr>
        <w:t xml:space="preserve">. But this assumption is </w:t>
      </w:r>
      <w:r>
        <w:rPr>
          <w:rFonts w:cs="Calibri"/>
        </w:rPr>
        <w:lastRenderedPageBreak/>
        <w:t>questionable to be</w:t>
      </w:r>
      <w:r>
        <w:t xml:space="preserve">gin with because it sets an impossible ideal standard. Our everyday life is a monument to misunderstanding, no matter what language we speak. On the other hand, the linguistic systems of individuals are often far </w:t>
      </w:r>
      <w:r>
        <w:t xml:space="preserve">more complex than those linking language, culture, and the law are willing to admit. Whole communities use different languages, spoken and written, for different purposes and in different contexts. This is not a recent phenomenon, that is, a by-product of </w:t>
      </w:r>
      <w:r>
        <w:t xml:space="preserve">modernity or of post-modernity. These facts are irreconcilable with a romantic view in which there is an indissoluble bond among law, language, and culture. </w:t>
      </w:r>
      <w:r>
        <w:rPr>
          <w:rFonts w:cs="Calibri"/>
        </w:rPr>
        <w:t xml:space="preserve">Legrand’s claim about culture is that each represents a unified and indigenous system of </w:t>
      </w:r>
      <w:r>
        <w:t xml:space="preserve">meaning. This claim, however, is problematic. If law is culture, we should be open to the idea that law, like culture, is the outcome of mishmash, borrowings, and mixtures that </w:t>
      </w:r>
      <w:r>
        <w:rPr>
          <w:rFonts w:cs="Calibri"/>
        </w:rPr>
        <w:t xml:space="preserve">have occurred, though at different rates, ever since the beginning of time. If </w:t>
      </w:r>
      <w:r>
        <w:rPr>
          <w:rFonts w:cs="Calibri"/>
        </w:rPr>
        <w:t>we view culture in this way, the opposing claims made by Watson and Legrand about legal transplants are not totally at odds. According to Watson, ‘the transplant of legal rules is socially easy’.</w:t>
      </w:r>
      <w:r>
        <w:rPr>
          <w:vertAlign w:val="superscript"/>
        </w:rPr>
        <w:t>115</w:t>
      </w:r>
      <w:r>
        <w:rPr>
          <w:rFonts w:cs="Calibri"/>
        </w:rPr>
        <w:t xml:space="preserve"> The difficult task is the intellectual work that transpla</w:t>
      </w:r>
      <w:r>
        <w:rPr>
          <w:rFonts w:cs="Calibri"/>
        </w:rPr>
        <w:t>ntation or reception requires. Students may have to learn Justinian’s Institutes, read cases in law reports, or familiarize themselves with the civil code (and perhaps even all these things at once). Leg</w:t>
      </w:r>
      <w:r>
        <w:t xml:space="preserve">islators, judges, lawyers, and commentators may draw </w:t>
      </w:r>
      <w:r>
        <w:t>inspiration from an extraordinary variety of sources while doing their jobs. It is not self-evident that when they do so, they will accord primacy to local sources rather than the ones they seek to borrow. At the same time, however, the meaning of the impo</w:t>
      </w:r>
      <w:r>
        <w:t>rt will be determined by the sense that the local user gives it. The transfer of law (just like that of other cultural elements) is not a mechanical process. It involves human learning, and learning cannot take place without improvization and experimentati</w:t>
      </w:r>
      <w:r>
        <w:t xml:space="preserve">on. Learning is both imitative, as it requires following a </w:t>
      </w:r>
      <w:r>
        <w:rPr>
          <w:rFonts w:cs="Calibri"/>
        </w:rPr>
        <w:t>model, and improvisational and experimental because the model must be tested. Needless to say, this process is rather creative, as any teacher knows. Yet, creative interpreta</w:t>
      </w:r>
      <w:r>
        <w:t>tion takes place in a c</w:t>
      </w:r>
      <w:r>
        <w:t xml:space="preserve">ultural context. Consequently, it is idle to ask if there can be perfect </w:t>
      </w:r>
      <w:r>
        <w:rPr>
          <w:rFonts w:cs="Calibri"/>
        </w:rPr>
        <w:t>imitation because such perfection is simply not the point. To be sure, this cultural dynam</w:t>
      </w:r>
      <w:r>
        <w:t>ic may involve the sacrifice of autochthonous elements of culture, but it does not imply a pa</w:t>
      </w:r>
      <w:r>
        <w:t>ssive attitude by the culture that is exposed to change.</w:t>
      </w:r>
    </w:p>
    <w:p w:rsidR="00441B30" w:rsidRDefault="00C96797">
      <w:pPr>
        <w:spacing w:after="10"/>
        <w:ind w:left="-5"/>
      </w:pPr>
      <w:r>
        <w:rPr>
          <w:rFonts w:cs="Calibri"/>
        </w:rPr>
        <w:t xml:space="preserve">Hence, there is some truth in Legrand’s claim that ‘the transplant’ cannot survive the </w:t>
      </w:r>
      <w:r>
        <w:t>change of context unscathed. The essential point is that the law is a product embedded in</w:t>
      </w:r>
      <w:r>
        <w:rPr>
          <w:rFonts w:cs="Calibri"/>
        </w:rPr>
        <w:t xml:space="preserve"> </w:t>
      </w:r>
    </w:p>
    <w:p w:rsidR="00441B30" w:rsidRDefault="00C96797">
      <w:pPr>
        <w:ind w:left="-15" w:firstLine="135"/>
      </w:pPr>
      <w:r>
        <w:rPr>
          <w:rFonts w:cs="Calibri"/>
          <w:noProof/>
          <w:sz w:val="22"/>
        </w:rPr>
        <mc:AlternateContent>
          <mc:Choice Requires="wpg">
            <w:drawing>
              <wp:anchor distT="0" distB="0" distL="114300" distR="114300" simplePos="0" relativeHeight="251686912" behindDoc="0" locked="0" layoutInCell="1" allowOverlap="1">
                <wp:simplePos x="0" y="0"/>
                <wp:positionH relativeFrom="column">
                  <wp:posOffset>28575</wp:posOffset>
                </wp:positionH>
                <wp:positionV relativeFrom="paragraph">
                  <wp:posOffset>3159</wp:posOffset>
                </wp:positionV>
                <wp:extent cx="436626" cy="142875"/>
                <wp:effectExtent l="0" t="0" r="0" b="0"/>
                <wp:wrapNone/>
                <wp:docPr id="50084" name="Group 50084"/>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5936" name="Shape 5936"/>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50084" style="width:34.38pt;height:11.25pt;position:absolute;z-index:77;mso-position-horizontal-relative:text;mso-position-horizontal:absolute;margin-left:2.25pt;mso-position-vertical-relative:text;margin-top:0.248779pt;" coordsize="4366,1428">
                <v:shape id="Shape 5936"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color w:val="666666"/>
          <w:sz w:val="14"/>
        </w:rPr>
        <w:t xml:space="preserve">(p. 470) </w:t>
      </w:r>
      <w:r>
        <w:rPr>
          <w:rFonts w:cs="Calibri"/>
        </w:rPr>
        <w:t>the specifi</w:t>
      </w:r>
      <w:r>
        <w:rPr>
          <w:rFonts w:cs="Calibri"/>
        </w:rPr>
        <w:t xml:space="preserve">c culture of the local actors, a culture that is usually different—and sometimes radically different—from the culture that produced the imported law. This is </w:t>
      </w:r>
      <w:r>
        <w:t>not an endorsement of the extreme view that law has no determinate content apart from a given cult</w:t>
      </w:r>
      <w:r>
        <w:t xml:space="preserve">ure. It is simply based on the familiar view that the meaning of law is not fully determined, and that each interpreter will influence how it is understood. Consequently, </w:t>
      </w:r>
      <w:r>
        <w:rPr>
          <w:rFonts w:cs="Calibri"/>
        </w:rPr>
        <w:t>although the meaning of law, like any other cultural element, may be manipulated, re</w:t>
      </w:r>
      <w:r>
        <w:t>a</w:t>
      </w:r>
      <w:r>
        <w:t xml:space="preserve">rranged, transformed, and distorted as it is passed on, the transmission of law from one </w:t>
      </w:r>
      <w:r>
        <w:rPr>
          <w:rFonts w:cs="Calibri"/>
        </w:rPr>
        <w:t>culture to another can still take place. Although cultures are unique configurations produced by the individuals who share them, cultures interact and change through t</w:t>
      </w:r>
      <w:r>
        <w:rPr>
          <w:rFonts w:cs="Calibri"/>
        </w:rPr>
        <w:t>he trans</w:t>
      </w:r>
      <w:r>
        <w:t xml:space="preserve">mission of cultural elements. The identity of a cultural group is not compromised by change through contact with another culture, except in tragic cases. On the contrary, the </w:t>
      </w:r>
      <w:r>
        <w:rPr>
          <w:rFonts w:cs="Calibri"/>
        </w:rPr>
        <w:t>selective appropriation of foreign cultural characteristics is often cruc</w:t>
      </w:r>
      <w:r>
        <w:rPr>
          <w:rFonts w:cs="Calibri"/>
        </w:rPr>
        <w:t>ial to the mainte</w:t>
      </w:r>
      <w:r>
        <w:t>nance of a living culture.</w:t>
      </w:r>
    </w:p>
    <w:p w:rsidR="00441B30" w:rsidRDefault="00C96797">
      <w:pPr>
        <w:spacing w:after="610"/>
        <w:ind w:left="-5"/>
      </w:pPr>
      <w:r>
        <w:t>Legrand does not deny this.</w:t>
      </w:r>
      <w:r>
        <w:rPr>
          <w:vertAlign w:val="superscript"/>
        </w:rPr>
        <w:t>116</w:t>
      </w:r>
      <w:r>
        <w:rPr>
          <w:rFonts w:cs="Calibri"/>
        </w:rPr>
        <w:t xml:space="preserve"> </w:t>
      </w:r>
      <w:r>
        <w:t>He objects, however, to the urge to make comparative law the white knight in the quest for the unification of different legal systems in Europe as elsewhere and, thus, to the strait</w:t>
      </w:r>
      <w:r>
        <w:t xml:space="preserve">-jacket that such an approach imposes on comparative </w:t>
      </w:r>
      <w:r>
        <w:rPr>
          <w:rFonts w:cs="Calibri"/>
        </w:rPr>
        <w:t>legal research. When Legrand’s claims are understood in this, qualified, manner, the existence of legal transplants need not be unsettling to those who believe that law indeed re</w:t>
      </w:r>
      <w:r>
        <w:t>flects the culture of a p</w:t>
      </w:r>
      <w:r>
        <w:t>articular society.</w:t>
      </w:r>
    </w:p>
    <w:p w:rsidR="00441B30" w:rsidRDefault="00C96797">
      <w:pPr>
        <w:pStyle w:val="Heading1"/>
        <w:ind w:left="-5"/>
      </w:pPr>
      <w:r>
        <w:lastRenderedPageBreak/>
        <w:t>IX.</w:t>
      </w:r>
      <w:r>
        <w:t xml:space="preserve"> </w:t>
      </w:r>
      <w:r>
        <w:t>Lessons</w:t>
      </w:r>
    </w:p>
    <w:p w:rsidR="00441B30" w:rsidRDefault="00C96797">
      <w:pPr>
        <w:ind w:left="-5"/>
      </w:pPr>
      <w:r>
        <w:t xml:space="preserve">We can now ask what the study of legal transplants can teach us about law. In order to </w:t>
      </w:r>
      <w:r>
        <w:rPr>
          <w:rFonts w:cs="Calibri"/>
        </w:rPr>
        <w:t>understand transplants, we must not regard them simply as expressions of sovereign au</w:t>
      </w:r>
      <w:r>
        <w:t>thority. Instead, we must consider the variety of rol</w:t>
      </w:r>
      <w:r>
        <w:t xml:space="preserve">es played by those who initiate them, be they supranational or international organizations, state authorities, interest groups, or </w:t>
      </w:r>
      <w:r>
        <w:rPr>
          <w:rFonts w:cs="Calibri"/>
        </w:rPr>
        <w:t>academic or professional elites. We can also see that we must consider how law is trans</w:t>
      </w:r>
      <w:r>
        <w:t>formed when it is transplanted.</w:t>
      </w:r>
    </w:p>
    <w:p w:rsidR="00441B30" w:rsidRDefault="00C96797">
      <w:pPr>
        <w:spacing w:after="193" w:line="327" w:lineRule="auto"/>
        <w:ind w:left="-5"/>
      </w:pPr>
      <w:r>
        <w:rPr>
          <w:rFonts w:cs="Calibri"/>
        </w:rPr>
        <w:t>Neithe</w:t>
      </w:r>
      <w:r>
        <w:rPr>
          <w:rFonts w:cs="Calibri"/>
        </w:rPr>
        <w:t>r of these considerations is directly related to the law’s overall intellectual coherence, rationality, and responsiveness to society’s needs. Many regard these factors as essential to any intellectually satisfactory account of law and criticize studies of</w:t>
      </w:r>
      <w:r>
        <w:rPr>
          <w:rFonts w:cs="Calibri"/>
        </w:rPr>
        <w:t xml:space="preserve"> legal transplants for neglecting them. Yet, such criticism is misconceived. Legal transplants are winning increasing attention in comparative law precisely because they challenge the philosophical emphasis on the law’s overall intellectual coherence, rati</w:t>
      </w:r>
      <w:r>
        <w:rPr>
          <w:rFonts w:cs="Calibri"/>
        </w:rPr>
        <w:t>onality, and responsiveness to society’s needs.</w:t>
      </w:r>
    </w:p>
    <w:p w:rsidR="00441B30" w:rsidRDefault="00C96797">
      <w:pPr>
        <w:spacing w:after="193" w:line="327" w:lineRule="auto"/>
        <w:ind w:left="-5"/>
      </w:pPr>
      <w:r>
        <w:t xml:space="preserve">The distorting effect of philosophical theories which propose unified generic concepts of </w:t>
      </w:r>
      <w:r>
        <w:rPr>
          <w:rFonts w:cs="Calibri"/>
        </w:rPr>
        <w:t>‘the law’, ‘legal culture’, and ‘society’ becomes obvious here. One can also see this effect in studies that try to ex</w:t>
      </w:r>
      <w:r>
        <w:rPr>
          <w:rFonts w:cs="Calibri"/>
        </w:rPr>
        <w:t xml:space="preserve">plain successful transplants in terms of their ‘fit’ with the society </w:t>
      </w:r>
      <w:r>
        <w:t xml:space="preserve">that adopts them, or in the efforts of comparative law scholars to classify legal systems into legal families. Each of these approaches misunderstands how and why transplants </w:t>
      </w:r>
      <w:r>
        <w:rPr>
          <w:rFonts w:cs="Calibri"/>
        </w:rPr>
        <w:t>occur; they</w:t>
      </w:r>
      <w:r>
        <w:rPr>
          <w:rFonts w:cs="Calibri"/>
        </w:rPr>
        <w:t xml:space="preserve"> have all been led astray by the emphasis on coherence, rationality, and responsiveness to society’s needs.</w:t>
      </w:r>
    </w:p>
    <w:p w:rsidR="00441B30" w:rsidRDefault="00C96797">
      <w:pPr>
        <w:spacing w:after="193" w:line="327" w:lineRule="auto"/>
        <w:ind w:left="-15" w:firstLine="135"/>
      </w:pPr>
      <w:r>
        <w:rPr>
          <w:rFonts w:cs="Calibri"/>
          <w:noProof/>
          <w:sz w:val="22"/>
        </w:rPr>
        <mc:AlternateContent>
          <mc:Choice Requires="wpg">
            <w:drawing>
              <wp:anchor distT="0" distB="0" distL="114300" distR="114300" simplePos="0" relativeHeight="251687936" behindDoc="0" locked="0" layoutInCell="1" allowOverlap="1">
                <wp:simplePos x="0" y="0"/>
                <wp:positionH relativeFrom="column">
                  <wp:posOffset>28575</wp:posOffset>
                </wp:positionH>
                <wp:positionV relativeFrom="paragraph">
                  <wp:posOffset>3194</wp:posOffset>
                </wp:positionV>
                <wp:extent cx="436626" cy="142875"/>
                <wp:effectExtent l="0" t="0" r="0" b="0"/>
                <wp:wrapNone/>
                <wp:docPr id="50492" name="Group 50492"/>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6063" name="Shape 6063"/>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700"/>
                                  <a:pt x="436626" y="28575"/>
                                </a:cubicBezTo>
                                <a:cubicBezTo>
                                  <a:pt x="436626" y="28575"/>
                                  <a:pt x="436626" y="28575"/>
                                  <a:pt x="436626" y="114300"/>
                                </a:cubicBezTo>
                                <a:cubicBezTo>
                                  <a:pt x="436626" y="130048"/>
                                  <a:pt x="423799" y="142875"/>
                                  <a:pt x="408051" y="142875"/>
                                </a:cubicBezTo>
                                <a:cubicBezTo>
                                  <a:pt x="408051" y="142875"/>
                                  <a:pt x="408051"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50492" style="width:34.38pt;height:11.25pt;position:absolute;z-index:29;mso-position-horizontal-relative:text;mso-position-horizontal:absolute;margin-left:2.25pt;mso-position-vertical-relative:text;margin-top:0.251526pt;" coordsize="4366,1428">
                <v:shape id="Shape 6063" style="position:absolute;width:4366;height:1428;left:0;top:0;" coordsize="436626,142875" path="m28575,0c28575,0,28575,0,408051,0c423799,0,436626,12700,436626,28575c436626,28575,436626,28575,436626,114300c436626,130048,423799,142875,408051,142875c408051,142875,408051,142875,28575,142875c12827,142875,0,130048,0,114300l0,28575c0,12700,12827,0,28575,0x">
                  <v:stroke weight="0pt" endcap="square" joinstyle="miter" miterlimit="10" on="false" color="#000000" opacity="0"/>
                  <v:fill on="true" color="#e3e3e3"/>
                </v:shape>
              </v:group>
            </w:pict>
          </mc:Fallback>
        </mc:AlternateContent>
      </w:r>
      <w:r>
        <w:rPr>
          <w:rFonts w:cs="Calibri"/>
          <w:color w:val="666666"/>
          <w:sz w:val="14"/>
        </w:rPr>
        <w:t xml:space="preserve">(p. 471) </w:t>
      </w:r>
      <w:r>
        <w:rPr>
          <w:rFonts w:cs="Calibri"/>
        </w:rPr>
        <w:t xml:space="preserve">Legal theories proposing generic concepts of ‘law’, ‘legal culture’, and ‘society’ and stressing the law’s coherence and consistency lead </w:t>
      </w:r>
      <w:r>
        <w:rPr>
          <w:rFonts w:cs="Calibri"/>
        </w:rPr>
        <w:t>to stereotypes when the true is</w:t>
      </w:r>
      <w:r>
        <w:t>sue is what exactly travels across time and space. Thus, such theories are part of the problem, rather than a key to the solution.</w:t>
      </w:r>
    </w:p>
    <w:p w:rsidR="00441B30" w:rsidRDefault="00C96797">
      <w:pPr>
        <w:ind w:left="-5"/>
      </w:pPr>
      <w:r>
        <w:rPr>
          <w:rFonts w:cs="Calibri"/>
        </w:rPr>
        <w:t xml:space="preserve">Law in society is not the coherent and consistent object described by these generic concepts. </w:t>
      </w:r>
      <w:r>
        <w:rPr>
          <w:rFonts w:cs="Calibri"/>
        </w:rPr>
        <w:t>‘The law’ is a generalization denoting a collage of legal artefacts.</w:t>
      </w:r>
      <w:r>
        <w:rPr>
          <w:vertAlign w:val="superscript"/>
        </w:rPr>
        <w:t>117</w:t>
      </w:r>
      <w:r>
        <w:rPr>
          <w:rFonts w:cs="Calibri"/>
        </w:rPr>
        <w:t xml:space="preserve"> </w:t>
      </w:r>
      <w:r>
        <w:t>Within the same legal system, there is a multiplicity of factors at work to produce change. It may well happen that the application of the provisions of the French civil code falls int</w:t>
      </w:r>
      <w:r>
        <w:t xml:space="preserve">o the hand of lawyers steeped in German legal thinking, who will read them through the lenses </w:t>
      </w:r>
      <w:r>
        <w:rPr>
          <w:rFonts w:cs="Calibri"/>
        </w:rPr>
        <w:t xml:space="preserve">of German legal categories. It may also happen that the structure of Justinian’s Institutes is adopted to expound the common law, though the relationship between </w:t>
      </w:r>
      <w:r>
        <w:rPr>
          <w:rFonts w:cs="Calibri"/>
        </w:rPr>
        <w:t>these two ele</w:t>
      </w:r>
      <w:r>
        <w:t>ments is far from straightforward. Such odd combinations are rather common. Soviet law employed the notion of a legal act (</w:t>
      </w:r>
      <w:r>
        <w:rPr>
          <w:rFonts w:cs="Calibri"/>
          <w:i/>
        </w:rPr>
        <w:t>Rechtsgeschäft</w:t>
      </w:r>
      <w:r>
        <w:rPr>
          <w:rFonts w:cs="Calibri"/>
        </w:rPr>
        <w:t>)—the very symbol of private autonomy throughout the nineteenth century—while developing a system of centr</w:t>
      </w:r>
      <w:r>
        <w:rPr>
          <w:rFonts w:cs="Calibri"/>
        </w:rPr>
        <w:t>al planning. Islam</w:t>
      </w:r>
      <w:r>
        <w:t>ic law may accommodate customary elements of law which do not fully accord with, or may indeed contradict, its sacred principles.</w:t>
      </w:r>
    </w:p>
    <w:p w:rsidR="00441B30" w:rsidRDefault="00C96797">
      <w:pPr>
        <w:ind w:left="-5"/>
      </w:pPr>
      <w:r>
        <w:rPr>
          <w:rFonts w:cs="Calibri"/>
        </w:rPr>
        <w:t>To recognize this multiplicity, we must acknowledge that what crosses boundaries is high</w:t>
      </w:r>
      <w:r>
        <w:t>ly diverse in both s</w:t>
      </w:r>
      <w:r>
        <w:t>ubstance and form. Unified visions of legal cultures and legal orders should thus be replaced by a more analytic, dynamic, and realistic picture of both, which also comprises their interaction with other legal orders and cultures. The study of legal transp</w:t>
      </w:r>
      <w:r>
        <w:t>lants and receptions shows that mismatch and contradiction are as much features of law as are consistency and coherence.</w:t>
      </w:r>
    </w:p>
    <w:p w:rsidR="00441B30" w:rsidRDefault="00C96797">
      <w:pPr>
        <w:ind w:left="-5"/>
      </w:pPr>
      <w:r>
        <w:rPr>
          <w:rFonts w:cs="Calibri"/>
          <w:noProof/>
          <w:sz w:val="22"/>
        </w:rPr>
        <w:lastRenderedPageBreak/>
        <mc:AlternateContent>
          <mc:Choice Requires="wpg">
            <w:drawing>
              <wp:anchor distT="0" distB="0" distL="114300" distR="114300" simplePos="0" relativeHeight="251688960" behindDoc="0" locked="0" layoutInCell="1" allowOverlap="1">
                <wp:simplePos x="0" y="0"/>
                <wp:positionH relativeFrom="column">
                  <wp:posOffset>1648841</wp:posOffset>
                </wp:positionH>
                <wp:positionV relativeFrom="paragraph">
                  <wp:posOffset>2805130</wp:posOffset>
                </wp:positionV>
                <wp:extent cx="436499" cy="142875"/>
                <wp:effectExtent l="0" t="0" r="0" b="0"/>
                <wp:wrapNone/>
                <wp:docPr id="50493" name="Group 50493"/>
                <wp:cNvGraphicFramePr/>
                <a:graphic xmlns:a="http://schemas.openxmlformats.org/drawingml/2006/main">
                  <a:graphicData uri="http://schemas.microsoft.com/office/word/2010/wordprocessingGroup">
                    <wpg:wgp>
                      <wpg:cNvGrpSpPr/>
                      <wpg:grpSpPr>
                        <a:xfrm>
                          <a:off x="0" y="0"/>
                          <a:ext cx="436499" cy="142875"/>
                          <a:chOff x="0" y="0"/>
                          <a:chExt cx="436499" cy="142875"/>
                        </a:xfrm>
                      </wpg:grpSpPr>
                      <wps:wsp>
                        <wps:cNvPr id="6114" name="Shape 6114"/>
                        <wps:cNvSpPr/>
                        <wps:spPr>
                          <a:xfrm>
                            <a:off x="0" y="0"/>
                            <a:ext cx="436499" cy="142875"/>
                          </a:xfrm>
                          <a:custGeom>
                            <a:avLst/>
                            <a:gdLst/>
                            <a:ahLst/>
                            <a:cxnLst/>
                            <a:rect l="0" t="0" r="0" b="0"/>
                            <a:pathLst>
                              <a:path w="436499" h="142875">
                                <a:moveTo>
                                  <a:pt x="28575" y="0"/>
                                </a:moveTo>
                                <a:cubicBezTo>
                                  <a:pt x="28575" y="0"/>
                                  <a:pt x="28575" y="0"/>
                                  <a:pt x="407924" y="0"/>
                                </a:cubicBezTo>
                                <a:cubicBezTo>
                                  <a:pt x="423799" y="0"/>
                                  <a:pt x="436499" y="12700"/>
                                  <a:pt x="436499" y="28575"/>
                                </a:cubicBezTo>
                                <a:cubicBezTo>
                                  <a:pt x="436499" y="28575"/>
                                  <a:pt x="436499" y="28575"/>
                                  <a:pt x="436499" y="114300"/>
                                </a:cubicBezTo>
                                <a:cubicBezTo>
                                  <a:pt x="436499" y="130048"/>
                                  <a:pt x="423799" y="142875"/>
                                  <a:pt x="407924" y="142875"/>
                                </a:cubicBezTo>
                                <a:cubicBezTo>
                                  <a:pt x="407924" y="142875"/>
                                  <a:pt x="407924" y="142875"/>
                                  <a:pt x="28575" y="142875"/>
                                </a:cubicBezTo>
                                <a:cubicBezTo>
                                  <a:pt x="12827" y="142875"/>
                                  <a:pt x="0" y="130048"/>
                                  <a:pt x="0" y="114300"/>
                                </a:cubicBezTo>
                                <a:lnTo>
                                  <a:pt x="0" y="28575"/>
                                </a:lnTo>
                                <a:cubicBezTo>
                                  <a:pt x="0" y="12700"/>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50493" style="width:34.37pt;height:11.25pt;position:absolute;z-index:80;mso-position-horizontal-relative:text;mso-position-horizontal:absolute;margin-left:129.83pt;mso-position-vertical-relative:text;margin-top:220.876pt;" coordsize="4364,1428">
                <v:shape id="Shape 6114" style="position:absolute;width:4364;height:1428;left:0;top:0;" coordsize="436499,142875" path="m28575,0c28575,0,28575,0,407924,0c423799,0,436499,12700,436499,28575c436499,28575,436499,28575,436499,114300c436499,130048,423799,142875,407924,142875c407924,142875,407924,142875,28575,142875c12827,142875,0,130048,0,114300l0,28575c0,12700,12827,0,28575,0x">
                  <v:stroke weight="0pt" endcap="square" joinstyle="miter" miterlimit="10" on="false" color="#000000" opacity="0"/>
                  <v:fill on="true" color="#e3e3e3"/>
                </v:shape>
              </v:group>
            </w:pict>
          </mc:Fallback>
        </mc:AlternateContent>
      </w:r>
      <w:r>
        <w:rPr>
          <w:rFonts w:cs="Calibri"/>
        </w:rPr>
        <w:t>The search for the supposed ‘fit’ between the transferred law and the local context leads scholars who take this approach to distingui</w:t>
      </w:r>
      <w:r>
        <w:rPr>
          <w:rFonts w:cs="Calibri"/>
        </w:rPr>
        <w:t>sh between autonomous and semi-au</w:t>
      </w:r>
      <w:r>
        <w:t xml:space="preserve">tonomous institutions, or between self-contained and non-self-contained transplants, etc., </w:t>
      </w:r>
      <w:r>
        <w:rPr>
          <w:rFonts w:cs="Calibri"/>
        </w:rPr>
        <w:t>to show which elements can be transplanted (because they would be rather loosely con</w:t>
      </w:r>
      <w:r>
        <w:t>nected with their place of origin) and which can</w:t>
      </w:r>
      <w:r>
        <w:t>not.</w:t>
      </w:r>
      <w:r>
        <w:rPr>
          <w:vertAlign w:val="superscript"/>
        </w:rPr>
        <w:t>118</w:t>
      </w:r>
      <w:r>
        <w:rPr>
          <w:rFonts w:cs="Calibri"/>
        </w:rPr>
        <w:t xml:space="preserve"> It is commonly assumed, for exam</w:t>
      </w:r>
      <w:r>
        <w:t>ple, that law governing economic matters (such as contracts) is more easily transplanted than law pertaining to more culture-bound matters, such as succession or family law. This approach, again, seeks consistency an</w:t>
      </w:r>
      <w:r>
        <w:t xml:space="preserve">d rationality but by doing so often misses what is </w:t>
      </w:r>
      <w:r>
        <w:rPr>
          <w:rFonts w:cs="Calibri"/>
        </w:rPr>
        <w:t xml:space="preserve">actually happening—note that recently, family law has become one of the most fertile </w:t>
      </w:r>
      <w:r>
        <w:t>grounds for reforms inspired by the same values in many parts of the world. One problem is that the search for overall c</w:t>
      </w:r>
      <w:r>
        <w:t xml:space="preserve">oherence may lead us to ignore the actual reasons why transplants succeed or fail. They may fail on rather specific grounds, rather than because </w:t>
      </w:r>
      <w:r>
        <w:rPr>
          <w:rFonts w:cs="Calibri"/>
        </w:rPr>
        <w:t>of a lack of ‘fit’, for example, because they are opposed by vested interests.</w:t>
      </w:r>
      <w:r>
        <w:rPr>
          <w:vertAlign w:val="superscript"/>
        </w:rPr>
        <w:t>119</w:t>
      </w:r>
      <w:r>
        <w:rPr>
          <w:rFonts w:cs="Calibri"/>
        </w:rPr>
        <w:t xml:space="preserve"> </w:t>
      </w:r>
      <w:r>
        <w:t xml:space="preserve">That law </w:t>
      </w:r>
      <w:r>
        <w:rPr>
          <w:rFonts w:cs="Calibri"/>
        </w:rPr>
        <w:t xml:space="preserve">reflects many of society’s arrangements is beyond doubt, but the law may also not exhibit </w:t>
      </w:r>
      <w:r>
        <w:t>any obvious connection</w:t>
      </w:r>
      <w:r>
        <w:rPr>
          <w:rFonts w:cs="Calibri"/>
        </w:rPr>
        <w:t xml:space="preserve"> </w:t>
      </w:r>
      <w:r>
        <w:rPr>
          <w:rFonts w:cs="Calibri"/>
          <w:color w:val="666666"/>
          <w:sz w:val="14"/>
        </w:rPr>
        <w:t xml:space="preserve">(p. 472) </w:t>
      </w:r>
      <w:r>
        <w:t xml:space="preserve">with those arrangements. The claim that legal transplants </w:t>
      </w:r>
      <w:r>
        <w:rPr>
          <w:rFonts w:cs="Calibri"/>
        </w:rPr>
        <w:t>occur because they ‘fit’ rests on broad generalizations that are seldom supp</w:t>
      </w:r>
      <w:r>
        <w:rPr>
          <w:rFonts w:cs="Calibri"/>
        </w:rPr>
        <w:t xml:space="preserve">orted by the </w:t>
      </w:r>
      <w:r>
        <w:t>study of the actual transplants themselves. The evidence advanced to support them is usually anecdotal and thus hardly compelling.</w:t>
      </w:r>
      <w:r>
        <w:rPr>
          <w:vertAlign w:val="superscript"/>
        </w:rPr>
        <w:t>120</w:t>
      </w:r>
      <w:r>
        <w:rPr>
          <w:rFonts w:cs="Calibri"/>
        </w:rPr>
        <w:t xml:space="preserve"> </w:t>
      </w:r>
      <w:r>
        <w:t xml:space="preserve">Indeed, there are glaring examples </w:t>
      </w:r>
      <w:r>
        <w:rPr>
          <w:rFonts w:cs="Calibri"/>
        </w:rPr>
        <w:t>which run counter to the explanation of transplants by virtue of ‘fit’ wit</w:t>
      </w:r>
      <w:r>
        <w:rPr>
          <w:rFonts w:cs="Calibri"/>
        </w:rPr>
        <w:t>h the recipient cul</w:t>
      </w:r>
      <w:r>
        <w:t>ture. The English and the Scottish laws of contract, for example, exhibit differences that would be difficult to explain from the standpoint criticized here.</w:t>
      </w:r>
    </w:p>
    <w:p w:rsidR="00441B30" w:rsidRDefault="00C96797">
      <w:pPr>
        <w:spacing w:after="193" w:line="327" w:lineRule="auto"/>
        <w:ind w:left="-5"/>
      </w:pPr>
      <w:r>
        <w:rPr>
          <w:rFonts w:cs="Calibri"/>
        </w:rPr>
        <w:t xml:space="preserve">The approach of explaining transplants by their degree of ‘fit’ disregards the </w:t>
      </w:r>
      <w:r>
        <w:rPr>
          <w:rFonts w:cs="Calibri"/>
        </w:rPr>
        <w:t>actors who effect transplants. Who these actors are affects what is transplanted. Networks of individ</w:t>
      </w:r>
      <w:r>
        <w:t xml:space="preserve">uals, organizations, and sub-communities have a conspicuous part in the diffusion of legal models across the world. Investigations conducted at this level </w:t>
      </w:r>
      <w:r>
        <w:t xml:space="preserve">demonstrate who does </w:t>
      </w:r>
      <w:r>
        <w:rPr>
          <w:rFonts w:cs="Calibri"/>
        </w:rPr>
        <w:t>what and for what purposes; this kind of analysis reveals more about the relationship between law and society than any broad generalization about the mutual ‘fit’ between them.</w:t>
      </w:r>
    </w:p>
    <w:p w:rsidR="00441B30" w:rsidRDefault="00C96797">
      <w:pPr>
        <w:spacing w:after="612"/>
        <w:ind w:left="-5"/>
      </w:pPr>
      <w:r>
        <w:t>Comparative legal studies have sought coherence also by di</w:t>
      </w:r>
      <w:r>
        <w:t xml:space="preserve">viding the world into separate legal families and legal traditions. Comparative law assigns local law to such families and traditions by recording legal patterns that cross political boundaries. Yet, these patterns are mostly the effect of transplants and </w:t>
      </w:r>
      <w:r>
        <w:t>receptions, rather than of independent parallel evolution caused by the uniform agency of extra-legal factors. We are not concerned here with a general critique of such taxonomic exercises. As a matter of fact, transfers among systems that belong to the sa</w:t>
      </w:r>
      <w:r>
        <w:t>me family are more frequent than it is commonly assumed, thus providing empirical proof of the relevance of the classificatory effort. Suffice it say that in the study of legal transplants the most interesting cases are those that reveal how transplants oc</w:t>
      </w:r>
      <w:r>
        <w:t xml:space="preserve">cur even when there is no such common ground. This study has shown that </w:t>
      </w:r>
      <w:r>
        <w:rPr>
          <w:rFonts w:cs="Calibri"/>
        </w:rPr>
        <w:t xml:space="preserve">the boundaries of the world’s legal systems are not watertight. The study of transplants </w:t>
      </w:r>
      <w:r>
        <w:t xml:space="preserve">and receptions suggests that many qualifications are in order when presenting the </w:t>
      </w:r>
      <w:r>
        <w:rPr>
          <w:rFonts w:cs="Calibri"/>
        </w:rPr>
        <w:t>world’s legal</w:t>
      </w:r>
      <w:r>
        <w:rPr>
          <w:rFonts w:cs="Calibri"/>
        </w:rPr>
        <w:t xml:space="preserve"> systems as a group of legal families. This study also provides a better ac</w:t>
      </w:r>
      <w:r>
        <w:t>count of the resemblances among these families because transplants and receptions played a substantial part into their making.</w:t>
      </w:r>
    </w:p>
    <w:p w:rsidR="00441B30" w:rsidRDefault="00C96797">
      <w:pPr>
        <w:pStyle w:val="Heading1"/>
        <w:ind w:left="-5"/>
      </w:pPr>
      <w:r>
        <w:t>X.</w:t>
      </w:r>
      <w:r>
        <w:t xml:space="preserve"> </w:t>
      </w:r>
      <w:r>
        <w:t>Conclusion</w:t>
      </w:r>
    </w:p>
    <w:p w:rsidR="00441B30" w:rsidRDefault="00C96797">
      <w:pPr>
        <w:ind w:left="-5"/>
      </w:pPr>
      <w:r>
        <w:t>Comparative law shows that legal orders owe their existence to both original innovation and borrowing. This mix produces a variety of unique legal experiences.</w:t>
      </w:r>
    </w:p>
    <w:p w:rsidR="00441B30" w:rsidRDefault="00C96797">
      <w:pPr>
        <w:ind w:left="-5"/>
      </w:pPr>
      <w:r>
        <w:rPr>
          <w:rFonts w:cs="Calibri"/>
          <w:noProof/>
          <w:sz w:val="22"/>
        </w:rPr>
        <w:lastRenderedPageBreak/>
        <mc:AlternateContent>
          <mc:Choice Requires="wpg">
            <w:drawing>
              <wp:anchor distT="0" distB="0" distL="114300" distR="114300" simplePos="0" relativeHeight="251689984" behindDoc="0" locked="0" layoutInCell="1" allowOverlap="1">
                <wp:simplePos x="0" y="0"/>
                <wp:positionH relativeFrom="column">
                  <wp:posOffset>1054735</wp:posOffset>
                </wp:positionH>
                <wp:positionV relativeFrom="paragraph">
                  <wp:posOffset>1204802</wp:posOffset>
                </wp:positionV>
                <wp:extent cx="436626" cy="142875"/>
                <wp:effectExtent l="0" t="0" r="0" b="0"/>
                <wp:wrapNone/>
                <wp:docPr id="50617" name="Group 50617"/>
                <wp:cNvGraphicFramePr/>
                <a:graphic xmlns:a="http://schemas.openxmlformats.org/drawingml/2006/main">
                  <a:graphicData uri="http://schemas.microsoft.com/office/word/2010/wordprocessingGroup">
                    <wpg:wgp>
                      <wpg:cNvGrpSpPr/>
                      <wpg:grpSpPr>
                        <a:xfrm>
                          <a:off x="0" y="0"/>
                          <a:ext cx="436626" cy="142875"/>
                          <a:chOff x="0" y="0"/>
                          <a:chExt cx="436626" cy="142875"/>
                        </a:xfrm>
                      </wpg:grpSpPr>
                      <wps:wsp>
                        <wps:cNvPr id="6209" name="Shape 6209"/>
                        <wps:cNvSpPr/>
                        <wps:spPr>
                          <a:xfrm>
                            <a:off x="0" y="0"/>
                            <a:ext cx="436626" cy="142875"/>
                          </a:xfrm>
                          <a:custGeom>
                            <a:avLst/>
                            <a:gdLst/>
                            <a:ahLst/>
                            <a:cxnLst/>
                            <a:rect l="0" t="0" r="0" b="0"/>
                            <a:pathLst>
                              <a:path w="436626" h="142875">
                                <a:moveTo>
                                  <a:pt x="28575" y="0"/>
                                </a:moveTo>
                                <a:cubicBezTo>
                                  <a:pt x="28575" y="0"/>
                                  <a:pt x="28575" y="0"/>
                                  <a:pt x="408051" y="0"/>
                                </a:cubicBezTo>
                                <a:cubicBezTo>
                                  <a:pt x="423799" y="0"/>
                                  <a:pt x="436626" y="12827"/>
                                  <a:pt x="436626" y="28575"/>
                                </a:cubicBezTo>
                                <a:cubicBezTo>
                                  <a:pt x="436626" y="28575"/>
                                  <a:pt x="436626" y="28575"/>
                                  <a:pt x="436626" y="114300"/>
                                </a:cubicBezTo>
                                <a:cubicBezTo>
                                  <a:pt x="436626" y="130175"/>
                                  <a:pt x="423799" y="142875"/>
                                  <a:pt x="408051" y="142875"/>
                                </a:cubicBezTo>
                                <a:cubicBezTo>
                                  <a:pt x="408051" y="142875"/>
                                  <a:pt x="408051" y="142875"/>
                                  <a:pt x="28575" y="142875"/>
                                </a:cubicBezTo>
                                <a:cubicBezTo>
                                  <a:pt x="12827" y="142875"/>
                                  <a:pt x="0" y="130175"/>
                                  <a:pt x="0" y="114300"/>
                                </a:cubicBezTo>
                                <a:lnTo>
                                  <a:pt x="0" y="28575"/>
                                </a:lnTo>
                                <a:cubicBezTo>
                                  <a:pt x="0" y="12827"/>
                                  <a:pt x="12827" y="0"/>
                                  <a:pt x="28575" y="0"/>
                                </a:cubicBezTo>
                                <a:close/>
                              </a:path>
                            </a:pathLst>
                          </a:custGeom>
                          <a:ln w="0" cap="sq">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50617" style="width:34.38pt;height:11.25pt;position:absolute;z-index:65;mso-position-horizontal-relative:text;mso-position-horizontal:absolute;margin-left:83.05pt;mso-position-vertical-relative:text;margin-top:94.8663pt;" coordsize="4366,1428">
                <v:shape id="Shape 6209" style="position:absolute;width:4366;height:1428;left:0;top:0;" coordsize="436626,142875" path="m28575,0c28575,0,28575,0,408051,0c423799,0,436626,12827,436626,28575c436626,28575,436626,28575,436626,114300c436626,130175,423799,142875,408051,142875c408051,142875,408051,142875,28575,142875c12827,142875,0,130175,0,114300l0,28575c0,12827,12827,0,28575,0x">
                  <v:stroke weight="0pt" endcap="square" joinstyle="miter" miterlimit="10" on="false" color="#000000" opacity="0"/>
                  <v:fill on="true" color="#e3e3e3"/>
                </v:shape>
              </v:group>
            </w:pict>
          </mc:Fallback>
        </mc:AlternateContent>
      </w:r>
      <w:r>
        <w:t>The study of legal transfers offers considerable intellectual rewards. It corrects simplistic v</w:t>
      </w:r>
      <w:r>
        <w:t xml:space="preserve">iews regarding what law is and how it develops. The spread of legal institutions, ideals, </w:t>
      </w:r>
      <w:r>
        <w:rPr>
          <w:rFonts w:cs="Calibri"/>
        </w:rPr>
        <w:t>ideologies, doctrines, rules, and so on, is in the hands of a variety of actors. States, supra</w:t>
      </w:r>
      <w:r>
        <w:t>national and international organizations, firms, NGOs, professional elit</w:t>
      </w:r>
      <w:r>
        <w:t xml:space="preserve">es, scholars, and </w:t>
      </w:r>
      <w:r>
        <w:rPr>
          <w:rFonts w:cs="Calibri"/>
        </w:rPr>
        <w:t>others are all taking part in the process. The study of transplants and receptions demon</w:t>
      </w:r>
      <w:r>
        <w:t>strates that the knowledge and standing of the local elites that are involved in the making of a transplant</w:t>
      </w:r>
      <w:r>
        <w:rPr>
          <w:rFonts w:cs="Calibri"/>
        </w:rPr>
        <w:t xml:space="preserve"> </w:t>
      </w:r>
      <w:r>
        <w:rPr>
          <w:rFonts w:cs="Calibri"/>
          <w:color w:val="666666"/>
          <w:sz w:val="14"/>
        </w:rPr>
        <w:t xml:space="preserve">(p. 473) </w:t>
      </w:r>
      <w:r>
        <w:rPr>
          <w:rFonts w:cs="Calibri"/>
        </w:rPr>
        <w:t>comes from interactions between t</w:t>
      </w:r>
      <w:r>
        <w:rPr>
          <w:rFonts w:cs="Calibri"/>
        </w:rPr>
        <w:t>he local and non-local dimen</w:t>
      </w:r>
      <w:r>
        <w:t xml:space="preserve">sions of the law, that is, between the national and international spheres. This picture is </w:t>
      </w:r>
      <w:r>
        <w:rPr>
          <w:rFonts w:cs="Calibri"/>
        </w:rPr>
        <w:t>true in Berlin and in New York, in London and in Lima, but it is also true in less cos</w:t>
      </w:r>
      <w:r>
        <w:t xml:space="preserve">mopolitan environments. The conditions under which </w:t>
      </w:r>
      <w:r>
        <w:t>this interaction takes place deserve careful study.</w:t>
      </w:r>
    </w:p>
    <w:p w:rsidR="00441B30" w:rsidRDefault="00C96797">
      <w:pPr>
        <w:ind w:left="-5"/>
      </w:pPr>
      <w:r>
        <w:t xml:space="preserve">Students of legal transplants have often emphasized that the correlation between law and society is not self-evident because law frequently migrates across borders. Here, we need </w:t>
      </w:r>
      <w:r>
        <w:rPr>
          <w:rFonts w:cs="Calibri"/>
        </w:rPr>
        <w:t xml:space="preserve">to take into account the </w:t>
      </w:r>
      <w:r>
        <w:rPr>
          <w:rFonts w:cs="Calibri"/>
        </w:rPr>
        <w:t>communities and individuals involved in the transfer. To under</w:t>
      </w:r>
      <w:r>
        <w:t>stand transfer, one must first consider the role of those who bring it about. One must also examine the ways in which borrowed law is not lost in the process, but nevertheless transformed.</w:t>
      </w:r>
    </w:p>
    <w:p w:rsidR="00441B30" w:rsidRDefault="00C96797">
      <w:pPr>
        <w:spacing w:after="249"/>
        <w:ind w:left="-5"/>
      </w:pPr>
      <w:r>
        <w:t>The s</w:t>
      </w:r>
      <w:r>
        <w:t xml:space="preserve">tudy of legal transplants has sometimes been accused of embracing a conservative </w:t>
      </w:r>
      <w:r>
        <w:rPr>
          <w:rFonts w:cs="Calibri"/>
        </w:rPr>
        <w:t xml:space="preserve">orientation. Yet, this study simply subjects the law’s pretensions concerning its origins </w:t>
      </w:r>
      <w:r>
        <w:t>and ends to critical analysis. Doing so is not inconsistent with advancing progressiv</w:t>
      </w:r>
      <w:r>
        <w:t>e goals at all; in fact, it may be vital to a progressive agenda.</w:t>
      </w:r>
    </w:p>
    <w:p w:rsidR="00441B30" w:rsidRDefault="00C96797">
      <w:pPr>
        <w:pStyle w:val="Heading2"/>
        <w:spacing w:after="160" w:line="259" w:lineRule="auto"/>
        <w:ind w:left="-5"/>
      </w:pPr>
      <w:r>
        <w:rPr>
          <w:sz w:val="28"/>
        </w:rPr>
        <w:t>Bibliography</w:t>
      </w:r>
    </w:p>
    <w:p w:rsidR="00441B30" w:rsidRDefault="00C96797">
      <w:pPr>
        <w:spacing w:after="224"/>
        <w:ind w:left="-5"/>
      </w:pPr>
      <w:r>
        <w:t>The literature on legal transplants and receptions is large, fragmented, and still growing fast. Most comparative law handbooks contain helpful references, as do the footnotes o</w:t>
      </w:r>
      <w:r>
        <w:t>f this chapter</w:t>
      </w:r>
    </w:p>
    <w:p w:rsidR="00441B30" w:rsidRDefault="00C96797">
      <w:pPr>
        <w:spacing w:after="238"/>
        <w:ind w:left="-5"/>
      </w:pPr>
      <w:r>
        <w:t>Alan Watson,</w:t>
      </w:r>
      <w:r>
        <w:rPr>
          <w:rFonts w:cs="Calibri"/>
        </w:rPr>
        <w:t xml:space="preserve"> </w:t>
      </w:r>
      <w:r>
        <w:rPr>
          <w:rFonts w:cs="Calibri"/>
          <w:i/>
        </w:rPr>
        <w:t>Legal Transplants</w:t>
      </w:r>
      <w:r>
        <w:rPr>
          <w:rFonts w:cs="Calibri"/>
        </w:rPr>
        <w:t xml:space="preserve"> </w:t>
      </w:r>
      <w:r>
        <w:t>(1974; 2nd edn, 1993)</w:t>
      </w:r>
    </w:p>
    <w:p w:rsidR="00441B30" w:rsidRDefault="00C96797">
      <w:pPr>
        <w:spacing w:after="202" w:line="330" w:lineRule="auto"/>
        <w:ind w:left="-5"/>
      </w:pPr>
      <w:r>
        <w:rPr>
          <w:rFonts w:cs="Calibri"/>
        </w:rPr>
        <w:t xml:space="preserve">Rodolfo Sacco, ‘La circulation des modèles juridiques’, in Rapports géneraux au XIII Congrès International de droit comparé—Montreal 1990 </w:t>
      </w:r>
      <w:r>
        <w:t>(1992), 1</w:t>
      </w:r>
    </w:p>
    <w:p w:rsidR="00441B30" w:rsidRDefault="00C96797">
      <w:pPr>
        <w:spacing w:after="195" w:line="326" w:lineRule="auto"/>
        <w:ind w:left="-5"/>
      </w:pPr>
      <w:r>
        <w:t>Mathias Reimann (ed),</w:t>
      </w:r>
      <w:r>
        <w:rPr>
          <w:rFonts w:cs="Calibri"/>
        </w:rPr>
        <w:t xml:space="preserve"> </w:t>
      </w:r>
      <w:r>
        <w:rPr>
          <w:rFonts w:cs="Calibri"/>
          <w:i/>
        </w:rPr>
        <w:t>The Reception of C</w:t>
      </w:r>
      <w:r>
        <w:rPr>
          <w:rFonts w:cs="Calibri"/>
          <w:i/>
        </w:rPr>
        <w:t xml:space="preserve">ontinental Ideas in the Common Law World </w:t>
      </w:r>
      <w:r>
        <w:rPr>
          <w:rFonts w:cs="Calibri"/>
        </w:rPr>
        <w:t xml:space="preserve">1820–1920 </w:t>
      </w:r>
      <w:r>
        <w:t>(1993)</w:t>
      </w:r>
    </w:p>
    <w:p w:rsidR="00441B30" w:rsidRDefault="00C96797">
      <w:pPr>
        <w:spacing w:after="226"/>
        <w:ind w:left="-5"/>
      </w:pPr>
      <w:r>
        <w:t>Michel Doucet and Jacques Vanderlinden (eds),</w:t>
      </w:r>
      <w:r>
        <w:rPr>
          <w:rFonts w:cs="Calibri"/>
        </w:rPr>
        <w:t xml:space="preserve"> La réception des systèmes juridiques: im</w:t>
      </w:r>
      <w:r>
        <w:rPr>
          <w:rFonts w:cs="Calibri"/>
          <w:i/>
        </w:rPr>
        <w:t>plantation et destin</w:t>
      </w:r>
      <w:r>
        <w:rPr>
          <w:rFonts w:cs="Calibri"/>
        </w:rPr>
        <w:t xml:space="preserve"> </w:t>
      </w:r>
      <w:r>
        <w:t>(1994)</w:t>
      </w:r>
    </w:p>
    <w:p w:rsidR="00441B30" w:rsidRDefault="00C96797">
      <w:pPr>
        <w:spacing w:after="193" w:line="327" w:lineRule="auto"/>
        <w:ind w:left="-5"/>
      </w:pPr>
      <w:r>
        <w:rPr>
          <w:rFonts w:cs="Calibri"/>
        </w:rPr>
        <w:t xml:space="preserve">Pierre Legrand, ‘The Impossibility of Legal Transplants’ (1997) 4 </w:t>
      </w:r>
      <w:r>
        <w:rPr>
          <w:rFonts w:cs="Calibri"/>
          <w:i/>
        </w:rPr>
        <w:t>Maastricht Journal of European and Comparative Law</w:t>
      </w:r>
      <w:r>
        <w:rPr>
          <w:rFonts w:cs="Calibri"/>
        </w:rPr>
        <w:t xml:space="preserve"> </w:t>
      </w:r>
      <w:r>
        <w:t>111</w:t>
      </w:r>
    </w:p>
    <w:p w:rsidR="00441B30" w:rsidRDefault="00C96797">
      <w:pPr>
        <w:spacing w:after="193" w:line="327" w:lineRule="auto"/>
        <w:ind w:left="-5"/>
      </w:pPr>
      <w:r>
        <w:rPr>
          <w:rFonts w:cs="Calibri"/>
        </w:rPr>
        <w:t xml:space="preserve">Daniel Berkowitz, Katharina Pistor, and Jean-Francois Richard, ‘The Transplant Effect’, </w:t>
      </w:r>
      <w:r>
        <w:t>(2003) 51</w:t>
      </w:r>
      <w:r>
        <w:rPr>
          <w:rFonts w:cs="Calibri"/>
        </w:rPr>
        <w:t xml:space="preserve"> </w:t>
      </w:r>
      <w:r>
        <w:rPr>
          <w:rFonts w:cs="Calibri"/>
          <w:i/>
        </w:rPr>
        <w:t>AJCL</w:t>
      </w:r>
      <w:r>
        <w:rPr>
          <w:rFonts w:cs="Calibri"/>
        </w:rPr>
        <w:t xml:space="preserve"> </w:t>
      </w:r>
      <w:r>
        <w:t>163</w:t>
      </w:r>
    </w:p>
    <w:p w:rsidR="00441B30" w:rsidRDefault="00C96797">
      <w:pPr>
        <w:spacing w:after="254" w:line="259" w:lineRule="auto"/>
        <w:ind w:left="-5"/>
      </w:pPr>
      <w:r>
        <w:rPr>
          <w:rFonts w:cs="Calibri"/>
        </w:rPr>
        <w:t xml:space="preserve">William Twining, ‘Diffusion of Law: A Global Perspective’ (2005) 49 </w:t>
      </w:r>
      <w:r>
        <w:rPr>
          <w:rFonts w:cs="Calibri"/>
          <w:i/>
        </w:rPr>
        <w:t>J Leg Plur</w:t>
      </w:r>
      <w:r>
        <w:rPr>
          <w:rFonts w:cs="Calibri"/>
        </w:rPr>
        <w:t xml:space="preserve"> </w:t>
      </w:r>
      <w:r>
        <w:t>1</w:t>
      </w:r>
    </w:p>
    <w:p w:rsidR="00441B30" w:rsidRDefault="00C96797">
      <w:pPr>
        <w:spacing w:after="193" w:line="327" w:lineRule="auto"/>
        <w:ind w:left="-5"/>
      </w:pPr>
      <w:r>
        <w:rPr>
          <w:rFonts w:cs="Calibri"/>
        </w:rPr>
        <w:t>Holger Spaman</w:t>
      </w:r>
      <w:r>
        <w:rPr>
          <w:rFonts w:cs="Calibri"/>
        </w:rPr>
        <w:t xml:space="preserve">n ‘Contemporary legal transplants: legal families and the diffusion of (Corporate) law’ (2009) </w:t>
      </w:r>
      <w:r>
        <w:rPr>
          <w:rFonts w:cs="Calibri"/>
          <w:i/>
        </w:rPr>
        <w:t>BYU L Rev</w:t>
      </w:r>
      <w:r>
        <w:rPr>
          <w:rFonts w:cs="Calibri"/>
        </w:rPr>
        <w:t xml:space="preserve"> </w:t>
      </w:r>
      <w:r>
        <w:t>1813</w:t>
      </w:r>
    </w:p>
    <w:p w:rsidR="00441B30" w:rsidRDefault="00C96797">
      <w:pPr>
        <w:spacing w:after="193" w:line="327" w:lineRule="auto"/>
        <w:ind w:left="-5"/>
      </w:pPr>
      <w:r>
        <w:rPr>
          <w:rFonts w:cs="Calibri"/>
        </w:rPr>
        <w:lastRenderedPageBreak/>
        <w:t>Vlad Perju, ‘Constitutional Transplants, Borrowing, and Migrations’, in Michael Rosen</w:t>
      </w:r>
      <w:r>
        <w:t>feld, Andrea Sajo (eds),</w:t>
      </w:r>
      <w:r>
        <w:rPr>
          <w:rFonts w:cs="Calibri"/>
        </w:rPr>
        <w:t xml:space="preserve"> </w:t>
      </w:r>
      <w:r>
        <w:rPr>
          <w:rFonts w:cs="Calibri"/>
          <w:i/>
        </w:rPr>
        <w:t>Oxford Handbook of Comparative Const</w:t>
      </w:r>
      <w:r>
        <w:rPr>
          <w:rFonts w:cs="Calibri"/>
          <w:i/>
        </w:rPr>
        <w:t>itutional Law</w:t>
      </w:r>
      <w:r>
        <w:rPr>
          <w:rFonts w:cs="Calibri"/>
        </w:rPr>
        <w:t xml:space="preserve"> </w:t>
      </w:r>
      <w:r>
        <w:t>(2012) 1304</w:t>
      </w:r>
    </w:p>
    <w:p w:rsidR="00441B30" w:rsidRDefault="00C96797">
      <w:pPr>
        <w:spacing w:after="195" w:line="326" w:lineRule="auto"/>
        <w:ind w:left="-5"/>
      </w:pPr>
      <w:r>
        <w:t>Günter Frankenberg (ed),</w:t>
      </w:r>
      <w:r>
        <w:rPr>
          <w:rFonts w:cs="Calibri"/>
        </w:rPr>
        <w:t xml:space="preserve"> </w:t>
      </w:r>
      <w:r>
        <w:rPr>
          <w:rFonts w:cs="Calibri"/>
          <w:i/>
        </w:rPr>
        <w:t>Order From Transfer: Comparative Constitutional Design and Legal Culture</w:t>
      </w:r>
      <w:r>
        <w:rPr>
          <w:rFonts w:cs="Calibri"/>
        </w:rPr>
        <w:t xml:space="preserve"> </w:t>
      </w:r>
      <w:r>
        <w:t>(2013)</w:t>
      </w:r>
    </w:p>
    <w:p w:rsidR="00441B30" w:rsidRDefault="00C96797">
      <w:pPr>
        <w:spacing w:after="193" w:line="327" w:lineRule="auto"/>
        <w:ind w:left="-5"/>
      </w:pPr>
      <w:r>
        <w:rPr>
          <w:rFonts w:cs="Calibri"/>
        </w:rPr>
        <w:t xml:space="preserve">John W. Cairns, ‘Watson, Walton, and the History of Legal Transplants’, (2013) 41 </w:t>
      </w:r>
      <w:r>
        <w:rPr>
          <w:rFonts w:cs="Calibri"/>
          <w:i/>
        </w:rPr>
        <w:t>Georgia Journal of International and Compar</w:t>
      </w:r>
      <w:r>
        <w:rPr>
          <w:rFonts w:cs="Calibri"/>
          <w:i/>
        </w:rPr>
        <w:t>ative Law</w:t>
      </w:r>
      <w:r>
        <w:rPr>
          <w:rFonts w:cs="Calibri"/>
        </w:rPr>
        <w:t xml:space="preserve"> </w:t>
      </w:r>
      <w:r>
        <w:t>637</w:t>
      </w:r>
    </w:p>
    <w:p w:rsidR="00441B30" w:rsidRDefault="00C96797">
      <w:pPr>
        <w:spacing w:after="193" w:line="327" w:lineRule="auto"/>
        <w:ind w:left="-5"/>
      </w:pPr>
      <w:r>
        <w:rPr>
          <w:rFonts w:cs="Calibri"/>
        </w:rPr>
        <w:t xml:space="preserve">David Cabrelli and Mathias Siems, ‘Convergence, Legal Origins, and Transplants in Comparative Corporate Law: A Case-Based and Quantitative Analysis’ (2015) 63 </w:t>
      </w:r>
      <w:r>
        <w:rPr>
          <w:rFonts w:cs="Calibri"/>
          <w:i/>
        </w:rPr>
        <w:t>AJCL</w:t>
      </w:r>
      <w:r>
        <w:rPr>
          <w:rFonts w:cs="Calibri"/>
        </w:rPr>
        <w:t xml:space="preserve"> </w:t>
      </w:r>
      <w:r>
        <w:t>109</w:t>
      </w:r>
    </w:p>
    <w:p w:rsidR="00441B30" w:rsidRDefault="00C96797">
      <w:pPr>
        <w:spacing w:after="285" w:line="327" w:lineRule="auto"/>
        <w:ind w:left="-5"/>
      </w:pPr>
      <w:r>
        <w:rPr>
          <w:rFonts w:cs="Calibri"/>
        </w:rPr>
        <w:t xml:space="preserve">Elisabetta Grande, ‘Legal Transplants and the Inoculation Effect: How American Criminal Procedure Has Affected Continental Europe’ (2016) 64 </w:t>
      </w:r>
      <w:r>
        <w:rPr>
          <w:rFonts w:cs="Calibri"/>
          <w:i/>
        </w:rPr>
        <w:t>AJCL</w:t>
      </w:r>
      <w:r>
        <w:rPr>
          <w:rFonts w:cs="Calibri"/>
        </w:rPr>
        <w:t xml:space="preserve"> </w:t>
      </w:r>
      <w:r>
        <w:t>583</w:t>
      </w:r>
    </w:p>
    <w:p w:rsidR="00441B30" w:rsidRDefault="00C96797">
      <w:pPr>
        <w:spacing w:after="208" w:line="256" w:lineRule="auto"/>
        <w:ind w:left="-5"/>
      </w:pPr>
      <w:r>
        <w:rPr>
          <w:rFonts w:cs="Calibri"/>
          <w:sz w:val="25"/>
        </w:rPr>
        <w:t>Notes:</w:t>
      </w:r>
    </w:p>
    <w:p w:rsidR="00441B30" w:rsidRDefault="00C96797">
      <w:pPr>
        <w:spacing w:after="193" w:line="327" w:lineRule="auto"/>
        <w:ind w:left="-5"/>
      </w:pPr>
      <w:r>
        <w:t>(</w:t>
      </w:r>
      <w:r>
        <w:rPr>
          <w:vertAlign w:val="superscript"/>
        </w:rPr>
        <w:t>*</w:t>
      </w:r>
      <w:r>
        <w:rPr>
          <w:rFonts w:cs="Calibri"/>
        </w:rPr>
        <w:t xml:space="preserve">) The author expresses his gratitude for comments and editorial assistance to Jane Bestor, James </w:t>
      </w:r>
      <w:r>
        <w:rPr>
          <w:rFonts w:cs="Calibri"/>
        </w:rPr>
        <w:t>Gordley, Nancy Paul, Mathias Reimann, and Reinhard Zimmermann. The usu</w:t>
      </w:r>
      <w:r>
        <w:t>al disclaimer applies.</w:t>
      </w:r>
    </w:p>
    <w:p w:rsidR="00441B30" w:rsidRDefault="00C96797">
      <w:pPr>
        <w:spacing w:after="83" w:line="259" w:lineRule="auto"/>
        <w:ind w:left="-5"/>
      </w:pPr>
      <w:r>
        <w:t>(</w:t>
      </w:r>
      <w:r>
        <w:rPr>
          <w:vertAlign w:val="superscript"/>
        </w:rPr>
        <w:t>1</w:t>
      </w:r>
      <w:r>
        <w:rPr>
          <w:rFonts w:cs="Calibri"/>
        </w:rPr>
        <w:t xml:space="preserve">) On these contributions: William Twining, ‘Diffusion of Law: A Global Perspective’, </w:t>
      </w:r>
    </w:p>
    <w:p w:rsidR="00441B30" w:rsidRDefault="00C96797">
      <w:pPr>
        <w:spacing w:after="193" w:line="327" w:lineRule="auto"/>
        <w:ind w:left="-5"/>
      </w:pPr>
      <w:r>
        <w:t>(2004) 49</w:t>
      </w:r>
      <w:r>
        <w:rPr>
          <w:rFonts w:cs="Calibri"/>
        </w:rPr>
        <w:t xml:space="preserve"> </w:t>
      </w:r>
      <w:r>
        <w:rPr>
          <w:rFonts w:cs="Calibri"/>
          <w:i/>
        </w:rPr>
        <w:t>Journal of Legal Pluralism</w:t>
      </w:r>
      <w:r>
        <w:rPr>
          <w:rFonts w:cs="Calibri"/>
        </w:rPr>
        <w:t xml:space="preserve"> 1, 8–10; Andrew Huxley, ‘Jeremy Bentha</w:t>
      </w:r>
      <w:r>
        <w:rPr>
          <w:rFonts w:cs="Calibri"/>
        </w:rPr>
        <w:t xml:space="preserve">m on Legal Transplants’, (2007) 2 </w:t>
      </w:r>
      <w:r>
        <w:rPr>
          <w:rFonts w:cs="Calibri"/>
          <w:i/>
        </w:rPr>
        <w:t>Journal of Comparative Law</w:t>
      </w:r>
      <w:r>
        <w:rPr>
          <w:rFonts w:cs="Calibri"/>
        </w:rPr>
        <w:t xml:space="preserve"> 177, and John W. Cairns, ‘Watson, Walton, and the History of Legal Transplants’, (2013) 41 </w:t>
      </w:r>
      <w:r>
        <w:rPr>
          <w:rFonts w:cs="Calibri"/>
          <w:i/>
        </w:rPr>
        <w:t>Georgia Journal of International and Comparative Law</w:t>
      </w:r>
      <w:r>
        <w:rPr>
          <w:rFonts w:cs="Calibri"/>
        </w:rPr>
        <w:t xml:space="preserve"> </w:t>
      </w:r>
      <w:r>
        <w:t>637, 686 ff.</w:t>
      </w:r>
    </w:p>
    <w:p w:rsidR="00441B30" w:rsidRDefault="00C96797">
      <w:pPr>
        <w:numPr>
          <w:ilvl w:val="0"/>
          <w:numId w:val="2"/>
        </w:numPr>
        <w:spacing w:after="195" w:line="326" w:lineRule="auto"/>
        <w:ind w:hanging="431"/>
      </w:pPr>
      <w:r>
        <w:rPr>
          <w:rFonts w:cs="Calibri"/>
          <w:i/>
        </w:rPr>
        <w:t>Annales de la Faculté de droit de Ista</w:t>
      </w:r>
      <w:r>
        <w:rPr>
          <w:rFonts w:cs="Calibri"/>
          <w:i/>
        </w:rPr>
        <w:t>nbul</w:t>
      </w:r>
      <w:r>
        <w:t>, n 6 (1956); Unesco,</w:t>
      </w:r>
      <w:r>
        <w:rPr>
          <w:rFonts w:cs="Calibri"/>
        </w:rPr>
        <w:t xml:space="preserve"> </w:t>
      </w:r>
      <w:r>
        <w:rPr>
          <w:rFonts w:cs="Calibri"/>
          <w:i/>
        </w:rPr>
        <w:t>International Social Science Bulletin</w:t>
      </w:r>
      <w:r>
        <w:rPr>
          <w:rFonts w:cs="Calibri"/>
        </w:rPr>
        <w:t xml:space="preserve"> </w:t>
      </w:r>
      <w:r>
        <w:t>(1957), IX n 1.</w:t>
      </w:r>
    </w:p>
    <w:p w:rsidR="00441B30" w:rsidRDefault="00C96797">
      <w:pPr>
        <w:numPr>
          <w:ilvl w:val="0"/>
          <w:numId w:val="2"/>
        </w:numPr>
        <w:ind w:hanging="431"/>
      </w:pPr>
      <w:r>
        <w:t>He published widely on the topic after the appearance of this book. For an excellent discussion of his work and its impact: Cairns (n 1) (2013) 41</w:t>
      </w:r>
      <w:r>
        <w:rPr>
          <w:rFonts w:cs="Calibri"/>
        </w:rPr>
        <w:t xml:space="preserve"> Georgia Journal of Interna</w:t>
      </w:r>
      <w:r>
        <w:rPr>
          <w:rFonts w:cs="Calibri"/>
          <w:i/>
        </w:rPr>
        <w:t>tio</w:t>
      </w:r>
      <w:r>
        <w:rPr>
          <w:rFonts w:cs="Calibri"/>
          <w:i/>
        </w:rPr>
        <w:t>nal and Comparative Law</w:t>
      </w:r>
      <w:r>
        <w:rPr>
          <w:rFonts w:cs="Calibri"/>
        </w:rPr>
        <w:t xml:space="preserve"> </w:t>
      </w:r>
      <w:r>
        <w:t>637.</w:t>
      </w:r>
    </w:p>
    <w:p w:rsidR="00441B30" w:rsidRDefault="00C96797">
      <w:pPr>
        <w:numPr>
          <w:ilvl w:val="0"/>
          <w:numId w:val="2"/>
        </w:numPr>
        <w:spacing w:after="193" w:line="327" w:lineRule="auto"/>
        <w:ind w:hanging="431"/>
      </w:pPr>
      <w:r>
        <w:rPr>
          <w:rFonts w:cs="Calibri"/>
        </w:rPr>
        <w:t>Rodolfo Sacco, ‘Les buts et les méthodes de la comparaison du droit’, in Rapports na</w:t>
      </w:r>
      <w:r>
        <w:rPr>
          <w:rFonts w:cs="Calibri"/>
          <w:i/>
        </w:rPr>
        <w:t>tionaux italiens au IX Congrès international de droit comparé, Téhéran 1974</w:t>
      </w:r>
      <w:r>
        <w:rPr>
          <w:rFonts w:cs="Calibri"/>
        </w:rPr>
        <w:t xml:space="preserve"> </w:t>
      </w:r>
      <w:r>
        <w:t xml:space="preserve">(1974), 113 </w:t>
      </w:r>
      <w:r>
        <w:rPr>
          <w:rFonts w:cs="Calibri"/>
        </w:rPr>
        <w:t>ff, 127–31.</w:t>
      </w:r>
    </w:p>
    <w:p w:rsidR="00441B30" w:rsidRDefault="00C96797">
      <w:pPr>
        <w:numPr>
          <w:ilvl w:val="0"/>
          <w:numId w:val="2"/>
        </w:numPr>
        <w:spacing w:after="274" w:line="259" w:lineRule="auto"/>
        <w:ind w:hanging="431"/>
      </w:pPr>
      <w:r>
        <w:t>Mathias Siems,</w:t>
      </w:r>
      <w:r>
        <w:rPr>
          <w:rFonts w:cs="Calibri"/>
        </w:rPr>
        <w:t xml:space="preserve"> </w:t>
      </w:r>
      <w:r>
        <w:rPr>
          <w:rFonts w:cs="Calibri"/>
          <w:i/>
        </w:rPr>
        <w:t>Comparative Law</w:t>
      </w:r>
      <w:r>
        <w:rPr>
          <w:rFonts w:cs="Calibri"/>
        </w:rPr>
        <w:t xml:space="preserve"> (2nd edn, 2018), 231–261.</w:t>
      </w:r>
    </w:p>
    <w:p w:rsidR="00441B30" w:rsidRDefault="00C96797">
      <w:pPr>
        <w:numPr>
          <w:ilvl w:val="0"/>
          <w:numId w:val="2"/>
        </w:numPr>
        <w:spacing w:after="193" w:line="327" w:lineRule="auto"/>
        <w:ind w:hanging="431"/>
      </w:pPr>
      <w:r>
        <w:rPr>
          <w:rFonts w:cs="Calibri"/>
        </w:rPr>
        <w:t xml:space="preserve">Antonina Bakardjieva Engelbrekt, ‘Economic and Legal Discourses on Legal Trans­plants: Lost in Translation?’, (2016) 60 </w:t>
      </w:r>
      <w:r>
        <w:rPr>
          <w:rFonts w:cs="Calibri"/>
          <w:i/>
        </w:rPr>
        <w:t>Scadinavian Studies in Law</w:t>
      </w:r>
      <w:r>
        <w:rPr>
          <w:rFonts w:cs="Calibri"/>
        </w:rPr>
        <w:t xml:space="preserve"> </w:t>
      </w:r>
      <w:r>
        <w:t>111.</w:t>
      </w:r>
    </w:p>
    <w:p w:rsidR="00441B30" w:rsidRDefault="00C96797">
      <w:pPr>
        <w:numPr>
          <w:ilvl w:val="0"/>
          <w:numId w:val="2"/>
        </w:numPr>
        <w:spacing w:after="193" w:line="327" w:lineRule="auto"/>
        <w:ind w:hanging="431"/>
      </w:pPr>
      <w:r>
        <w:rPr>
          <w:rFonts w:cs="Calibri"/>
        </w:rPr>
        <w:t>The research programme delineated by Thomas Duve, ‘Global Lega</w:t>
      </w:r>
      <w:r>
        <w:rPr>
          <w:rFonts w:cs="Calibri"/>
        </w:rPr>
        <w:t xml:space="preserve">l History: A Methodological Approach’, in </w:t>
      </w:r>
      <w:r>
        <w:rPr>
          <w:rFonts w:cs="Calibri"/>
          <w:i/>
        </w:rPr>
        <w:t>Oxford Handbooks Online</w:t>
      </w:r>
      <w:r>
        <w:t xml:space="preserve">, published online Jan. 2017, </w:t>
      </w:r>
      <w:r>
        <w:rPr>
          <w:rFonts w:cs="Calibri"/>
        </w:rPr>
        <w:t>shows the importance of the subject for the discipline. For a review of the political science literature: Erin R. Graham, Charles R. Shipan, and Craig Volden ‘Th</w:t>
      </w:r>
      <w:r>
        <w:rPr>
          <w:rFonts w:cs="Calibri"/>
        </w:rPr>
        <w:t xml:space="preserve">e diffusion of policy diffusion research in political science’ (2013) 43 </w:t>
      </w:r>
      <w:r>
        <w:rPr>
          <w:rFonts w:cs="Calibri"/>
          <w:i/>
        </w:rPr>
        <w:t>British Journal of Political Science</w:t>
      </w:r>
      <w:r>
        <w:rPr>
          <w:rFonts w:cs="Calibri"/>
          <w:sz w:val="22"/>
        </w:rPr>
        <w:t xml:space="preserve"> </w:t>
      </w:r>
      <w:r>
        <w:t>673.</w:t>
      </w:r>
    </w:p>
    <w:p w:rsidR="00441B30" w:rsidRDefault="00C96797">
      <w:pPr>
        <w:numPr>
          <w:ilvl w:val="0"/>
          <w:numId w:val="2"/>
        </w:numPr>
        <w:ind w:hanging="431"/>
      </w:pPr>
      <w:r>
        <w:t>The</w:t>
      </w:r>
      <w:r>
        <w:rPr>
          <w:rFonts w:cs="Calibri"/>
        </w:rPr>
        <w:t xml:space="preserve"> </w:t>
      </w:r>
      <w:r>
        <w:rPr>
          <w:rFonts w:cs="Calibri"/>
          <w:i/>
        </w:rPr>
        <w:t>Isaidat Law Review</w:t>
      </w:r>
      <w:r>
        <w:t>, vol 1, Special Issue 2: Legal Culture and Legal Transplants (2011) published the thirty national reports presented to</w:t>
      </w:r>
      <w:r>
        <w:t xml:space="preserve"> the Congress on its web site: &lt;</w:t>
      </w:r>
      <w:hyperlink r:id="rId19">
        <w:r>
          <w:t>www.isaidatlawreview.org</w:t>
        </w:r>
      </w:hyperlink>
      <w:r>
        <w:t>&gt;.</w:t>
      </w:r>
    </w:p>
    <w:p w:rsidR="00441B30" w:rsidRDefault="00C96797">
      <w:pPr>
        <w:numPr>
          <w:ilvl w:val="0"/>
          <w:numId w:val="2"/>
        </w:numPr>
        <w:spacing w:after="195" w:line="326" w:lineRule="auto"/>
        <w:ind w:hanging="431"/>
      </w:pPr>
      <w:r>
        <w:rPr>
          <w:rFonts w:cs="Calibri"/>
          <w:i/>
        </w:rPr>
        <w:lastRenderedPageBreak/>
        <w:t>La circulation du modèle juridique français: Journées franco-italiennes</w:t>
      </w:r>
      <w:r>
        <w:rPr>
          <w:rFonts w:cs="Calibri"/>
        </w:rPr>
        <w:t xml:space="preserve"> </w:t>
      </w:r>
      <w:r>
        <w:t>(1994). The general reporter was Rodolfo Sacco.</w:t>
      </w:r>
    </w:p>
    <w:p w:rsidR="00441B30" w:rsidRDefault="00C96797">
      <w:pPr>
        <w:numPr>
          <w:ilvl w:val="0"/>
          <w:numId w:val="2"/>
        </w:numPr>
        <w:spacing w:after="193" w:line="327" w:lineRule="auto"/>
        <w:ind w:hanging="431"/>
      </w:pPr>
      <w:r>
        <w:rPr>
          <w:rFonts w:cs="Calibri"/>
        </w:rPr>
        <w:t xml:space="preserve">William Twining, ‘Social </w:t>
      </w:r>
      <w:r>
        <w:rPr>
          <w:rFonts w:cs="Calibri"/>
        </w:rPr>
        <w:t xml:space="preserve">Science and Diffusion of Law’, (2005) 32 </w:t>
      </w:r>
      <w:r>
        <w:rPr>
          <w:rFonts w:cs="Calibri"/>
          <w:i/>
        </w:rPr>
        <w:t>Journal of Law and Society</w:t>
      </w:r>
      <w:r>
        <w:rPr>
          <w:rFonts w:cs="Calibri"/>
        </w:rPr>
        <w:t xml:space="preserve"> 203; idem, ‘Diffusion and Globalization Discourse’, (2006) 47 Harvard Internation</w:t>
      </w:r>
      <w:r>
        <w:rPr>
          <w:rFonts w:cs="Calibri"/>
          <w:i/>
        </w:rPr>
        <w:t>al LJ</w:t>
      </w:r>
      <w:r>
        <w:rPr>
          <w:rFonts w:cs="Calibri"/>
        </w:rPr>
        <w:t xml:space="preserve"> 47. For a brilliant defence of the use of ‘transfer’ instead of ‘transplant’: Günter Frankenberg, ‘Co</w:t>
      </w:r>
      <w:r>
        <w:rPr>
          <w:rFonts w:cs="Calibri"/>
        </w:rPr>
        <w:t xml:space="preserve">nstitutions as Commodities. Notes on a Theory of Transfer’, in idem, </w:t>
      </w:r>
      <w:r>
        <w:t>(ed</w:t>
      </w:r>
      <w:r>
        <w:rPr>
          <w:rFonts w:cs="Calibri"/>
          <w:i/>
        </w:rPr>
        <w:t>), Order from Transfer: Comparative Constitutional Design and Legal Culture</w:t>
      </w:r>
      <w:r>
        <w:rPr>
          <w:rFonts w:cs="Calibri"/>
        </w:rPr>
        <w:t xml:space="preserve"> </w:t>
      </w:r>
      <w:r>
        <w:t>(2013).</w:t>
      </w:r>
    </w:p>
    <w:p w:rsidR="00441B30" w:rsidRDefault="00C96797">
      <w:pPr>
        <w:numPr>
          <w:ilvl w:val="0"/>
          <w:numId w:val="2"/>
        </w:numPr>
        <w:spacing w:after="279" w:line="259" w:lineRule="auto"/>
        <w:ind w:hanging="431"/>
      </w:pPr>
      <w:r>
        <w:rPr>
          <w:rFonts w:cs="Calibri"/>
        </w:rPr>
        <w:t xml:space="preserve">Esin Örücü, ‘Law as Transposition’, (2002) 51 </w:t>
      </w:r>
      <w:r>
        <w:rPr>
          <w:rFonts w:cs="Calibri"/>
          <w:i/>
        </w:rPr>
        <w:t>ICLQ</w:t>
      </w:r>
      <w:r>
        <w:rPr>
          <w:rFonts w:cs="Calibri"/>
        </w:rPr>
        <w:t xml:space="preserve"> </w:t>
      </w:r>
      <w:r>
        <w:t>205.</w:t>
      </w:r>
    </w:p>
    <w:p w:rsidR="00441B30" w:rsidRDefault="00C96797">
      <w:pPr>
        <w:numPr>
          <w:ilvl w:val="0"/>
          <w:numId w:val="2"/>
        </w:numPr>
        <w:spacing w:after="193" w:line="327" w:lineRule="auto"/>
        <w:ind w:hanging="431"/>
      </w:pPr>
      <w:r>
        <w:rPr>
          <w:rFonts w:cs="Calibri"/>
        </w:rPr>
        <w:t xml:space="preserve">Dan Fenno Henderson, ‘Chinese Legal Studies </w:t>
      </w:r>
      <w:r>
        <w:rPr>
          <w:rFonts w:cs="Calibri"/>
        </w:rPr>
        <w:t xml:space="preserve">in Early Eighteenth Century Japan— Scholars and Sources’, (1970) 30 </w:t>
      </w:r>
      <w:r>
        <w:rPr>
          <w:rFonts w:cs="Calibri"/>
          <w:i/>
        </w:rPr>
        <w:t>Asian Studies</w:t>
      </w:r>
      <w:r>
        <w:rPr>
          <w:rFonts w:cs="Calibri"/>
        </w:rPr>
        <w:t xml:space="preserve"> 21. On Vietnam, see Nguyên Ng</w:t>
      </w:r>
      <w:r>
        <w:rPr>
          <w:rFonts w:cs="Calibri"/>
        </w:rPr>
        <w:t>ọ</w:t>
      </w:r>
      <w:r>
        <w:rPr>
          <w:rFonts w:cs="Calibri"/>
        </w:rPr>
        <w:t>c Huy and T</w:t>
      </w:r>
      <w:r>
        <w:rPr>
          <w:rFonts w:cs="Calibri"/>
        </w:rPr>
        <w:t>ạ</w:t>
      </w:r>
      <w:r>
        <w:rPr>
          <w:rFonts w:cs="Calibri"/>
        </w:rPr>
        <w:t xml:space="preserve"> Vǎn Tài (eds), The Lê Code: Law in Traditional Vietnam: A Comparative Sino-Viet</w:t>
      </w:r>
      <w:r>
        <w:rPr>
          <w:rFonts w:cs="Calibri"/>
          <w:i/>
        </w:rPr>
        <w:t>namese Legal Study with Historical-Juridical Analysi</w:t>
      </w:r>
      <w:r>
        <w:rPr>
          <w:rFonts w:cs="Calibri"/>
          <w:i/>
        </w:rPr>
        <w:t>s and Annotations</w:t>
      </w:r>
      <w:r>
        <w:rPr>
          <w:rFonts w:cs="Calibri"/>
        </w:rPr>
        <w:t xml:space="preserve"> </w:t>
      </w:r>
      <w:r>
        <w:t>(1987).</w:t>
      </w:r>
    </w:p>
    <w:p w:rsidR="00441B30" w:rsidRDefault="00C96797">
      <w:pPr>
        <w:numPr>
          <w:ilvl w:val="0"/>
          <w:numId w:val="2"/>
        </w:numPr>
        <w:spacing w:after="202" w:line="330" w:lineRule="auto"/>
        <w:ind w:hanging="431"/>
      </w:pPr>
      <w:r>
        <w:t>Leonard Wood,</w:t>
      </w:r>
      <w:r>
        <w:rPr>
          <w:rFonts w:cs="Calibri"/>
        </w:rPr>
        <w:t xml:space="preserve"> </w:t>
      </w:r>
      <w:r>
        <w:rPr>
          <w:rFonts w:cs="Calibri"/>
        </w:rPr>
        <w:t>Islamic Legal Revival: Reception of European Law and Transformations in Islamic Legal Thought in Egypt, 1875–1952 (2016); Claude Bontems, ‘L’invention du droit musulman algérien à l’époque coloniale (XIX siècle)’ in Le débat juridique au Magreb de l’étatis</w:t>
      </w:r>
      <w:r>
        <w:rPr>
          <w:rFonts w:cs="Calibri"/>
        </w:rPr>
        <w:t xml:space="preserve">me à l’Etat de droit: études en l’honneur de Ahmed Mahiou </w:t>
      </w:r>
      <w:r>
        <w:t>(2009), 39 ff.</w:t>
      </w:r>
    </w:p>
    <w:p w:rsidR="00441B30" w:rsidRDefault="00C96797">
      <w:pPr>
        <w:numPr>
          <w:ilvl w:val="0"/>
          <w:numId w:val="2"/>
        </w:numPr>
        <w:spacing w:after="38"/>
        <w:ind w:hanging="431"/>
      </w:pPr>
      <w:r>
        <w:t>Franz Wieacker,</w:t>
      </w:r>
      <w:r>
        <w:rPr>
          <w:rFonts w:cs="Calibri"/>
        </w:rPr>
        <w:t xml:space="preserve"> </w:t>
      </w:r>
      <w:r>
        <w:rPr>
          <w:rFonts w:cs="Calibri"/>
          <w:i/>
        </w:rPr>
        <w:t>A History of Private Law in Europe</w:t>
      </w:r>
      <w:r>
        <w:rPr>
          <w:rFonts w:cs="Calibri"/>
        </w:rPr>
        <w:t xml:space="preserve"> </w:t>
      </w:r>
      <w:r>
        <w:t xml:space="preserve">(transl Tony Weir, 1995); Manlio </w:t>
      </w:r>
    </w:p>
    <w:p w:rsidR="00441B30" w:rsidRDefault="00C96797">
      <w:pPr>
        <w:spacing w:after="68" w:line="259" w:lineRule="auto"/>
        <w:ind w:left="-5"/>
      </w:pPr>
      <w:r>
        <w:t>Bellomo,</w:t>
      </w:r>
      <w:r>
        <w:rPr>
          <w:rFonts w:cs="Calibri"/>
        </w:rPr>
        <w:t xml:space="preserve"> The Common Legal Past of Europe, 1000–1800 </w:t>
      </w:r>
      <w:r>
        <w:t xml:space="preserve">(transl Lydia Cochrane, 1995) </w:t>
      </w:r>
    </w:p>
    <w:p w:rsidR="00441B30" w:rsidRDefault="00C96797">
      <w:pPr>
        <w:spacing w:after="68" w:line="259" w:lineRule="auto"/>
        <w:ind w:left="-5"/>
      </w:pPr>
      <w:r>
        <w:t>Antonio Padoa S</w:t>
      </w:r>
      <w:r>
        <w:t>chioppa,</w:t>
      </w:r>
      <w:r>
        <w:rPr>
          <w:rFonts w:cs="Calibri"/>
        </w:rPr>
        <w:t xml:space="preserve"> </w:t>
      </w:r>
      <w:r>
        <w:rPr>
          <w:rFonts w:cs="Calibri"/>
          <w:i/>
        </w:rPr>
        <w:t xml:space="preserve">A History of Law in Europe: From the Early Middle Ages to the </w:t>
      </w:r>
    </w:p>
    <w:p w:rsidR="00441B30" w:rsidRDefault="00C96797">
      <w:pPr>
        <w:ind w:left="-5"/>
      </w:pPr>
      <w:r>
        <w:rPr>
          <w:rFonts w:cs="Calibri"/>
          <w:i/>
        </w:rPr>
        <w:t>Twentieth Century</w:t>
      </w:r>
      <w:r>
        <w:rPr>
          <w:rFonts w:cs="Calibri"/>
        </w:rPr>
        <w:t xml:space="preserve"> </w:t>
      </w:r>
      <w:r>
        <w:t>(transl Caterina Fitzgerald, 2017) are the principal reference works in English. Peter Stein,</w:t>
      </w:r>
      <w:r>
        <w:rPr>
          <w:rFonts w:cs="Calibri"/>
        </w:rPr>
        <w:t xml:space="preserve"> </w:t>
      </w:r>
      <w:r>
        <w:rPr>
          <w:rFonts w:cs="Calibri"/>
          <w:i/>
        </w:rPr>
        <w:t>Roman Law in European History</w:t>
      </w:r>
      <w:r>
        <w:rPr>
          <w:rFonts w:cs="Calibri"/>
        </w:rPr>
        <w:t xml:space="preserve"> (1999) provides a brilliant introduc</w:t>
      </w:r>
      <w:r>
        <w:t>tion t</w:t>
      </w:r>
      <w:r>
        <w:t>o the topic. Paul Koschaker,</w:t>
      </w:r>
      <w:r>
        <w:rPr>
          <w:rFonts w:cs="Calibri"/>
        </w:rPr>
        <w:t xml:space="preserve"> </w:t>
      </w:r>
      <w:r>
        <w:rPr>
          <w:rFonts w:cs="Calibri"/>
          <w:i/>
        </w:rPr>
        <w:t>Europa und das Römisches Recht</w:t>
      </w:r>
      <w:r>
        <w:rPr>
          <w:rFonts w:cs="Calibri"/>
        </w:rPr>
        <w:t xml:space="preserve"> </w:t>
      </w:r>
      <w:r>
        <w:t>(2nd edn, 1953) is a classic.</w:t>
      </w:r>
    </w:p>
    <w:p w:rsidR="00441B30" w:rsidRDefault="00C96797">
      <w:pPr>
        <w:numPr>
          <w:ilvl w:val="0"/>
          <w:numId w:val="2"/>
        </w:numPr>
        <w:ind w:hanging="431"/>
      </w:pPr>
      <w:r>
        <w:t>Ronald G. Witt,</w:t>
      </w:r>
      <w:r>
        <w:rPr>
          <w:rFonts w:cs="Calibri"/>
        </w:rPr>
        <w:t xml:space="preserve"> The Two Latin Cultures and the Foundation of Renaissance Human</w:t>
      </w:r>
      <w:r>
        <w:rPr>
          <w:rFonts w:cs="Calibri"/>
          <w:i/>
        </w:rPr>
        <w:t>ism in Medieval Italy</w:t>
      </w:r>
      <w:r>
        <w:rPr>
          <w:rFonts w:cs="Calibri"/>
        </w:rPr>
        <w:t xml:space="preserve"> </w:t>
      </w:r>
      <w:r>
        <w:t xml:space="preserve">(2012) investigates the contribution of lawyers to the rebirth of a </w:t>
      </w:r>
      <w:r>
        <w:rPr>
          <w:rFonts w:cs="Calibri"/>
        </w:rPr>
        <w:t>Latin culture, making the difficult case for interpreting Renaissance humanism as the cul</w:t>
      </w:r>
      <w:r>
        <w:t>mination of the earlier medieval scholastic tradition.</w:t>
      </w:r>
    </w:p>
    <w:p w:rsidR="00441B30" w:rsidRDefault="00C96797">
      <w:pPr>
        <w:numPr>
          <w:ilvl w:val="0"/>
          <w:numId w:val="2"/>
        </w:numPr>
        <w:ind w:hanging="431"/>
      </w:pPr>
      <w:r>
        <w:t>On this episode, Reinhard Zimmermann,</w:t>
      </w:r>
      <w:r>
        <w:rPr>
          <w:rFonts w:cs="Calibri"/>
        </w:rPr>
        <w:t xml:space="preserve"> </w:t>
      </w:r>
      <w:r>
        <w:rPr>
          <w:rFonts w:cs="Calibri"/>
          <w:i/>
        </w:rPr>
        <w:t xml:space="preserve">Roman </w:t>
      </w:r>
      <w:r>
        <w:rPr>
          <w:rFonts w:cs="Calibri"/>
          <w:i/>
        </w:rPr>
        <w:t>Law, Contemporary Law, European Law</w:t>
      </w:r>
      <w:r>
        <w:rPr>
          <w:rFonts w:cs="Calibri"/>
        </w:rPr>
        <w:t xml:space="preserve"> </w:t>
      </w:r>
      <w:r>
        <w:t>(2001), 44 ff.</w:t>
      </w:r>
    </w:p>
    <w:p w:rsidR="00441B30" w:rsidRDefault="00C96797">
      <w:pPr>
        <w:numPr>
          <w:ilvl w:val="0"/>
          <w:numId w:val="2"/>
        </w:numPr>
        <w:spacing w:after="202" w:line="330" w:lineRule="auto"/>
        <w:ind w:hanging="431"/>
      </w:pPr>
      <w:r>
        <w:t>Gerald Strauss,</w:t>
      </w:r>
      <w:r>
        <w:rPr>
          <w:rFonts w:cs="Calibri"/>
        </w:rPr>
        <w:t xml:space="preserve"> Law, Resistance, and The State: The Opposition to Roman Law in Ref</w:t>
      </w:r>
      <w:r>
        <w:rPr>
          <w:rFonts w:cs="Calibri"/>
          <w:i/>
        </w:rPr>
        <w:t>ormation Germany</w:t>
      </w:r>
      <w:r>
        <w:rPr>
          <w:rFonts w:cs="Calibri"/>
        </w:rPr>
        <w:t xml:space="preserve"> </w:t>
      </w:r>
      <w:r>
        <w:t>(1986).</w:t>
      </w:r>
    </w:p>
    <w:p w:rsidR="00441B30" w:rsidRDefault="00C96797">
      <w:pPr>
        <w:numPr>
          <w:ilvl w:val="0"/>
          <w:numId w:val="2"/>
        </w:numPr>
        <w:spacing w:after="193" w:line="327" w:lineRule="auto"/>
        <w:ind w:hanging="431"/>
      </w:pPr>
      <w:r>
        <w:rPr>
          <w:rFonts w:cs="Calibri"/>
        </w:rPr>
        <w:t>Koschaker (n 14), 79–81, 137–8, held that ‘the question of the reception of a legal sys­tem is not</w:t>
      </w:r>
      <w:r>
        <w:rPr>
          <w:rFonts w:cs="Calibri"/>
        </w:rPr>
        <w:t xml:space="preserve"> a question of quality’ with reference to the reception of laws in general.</w:t>
      </w:r>
    </w:p>
    <w:p w:rsidR="00441B30" w:rsidRDefault="00C96797">
      <w:pPr>
        <w:numPr>
          <w:ilvl w:val="0"/>
          <w:numId w:val="2"/>
        </w:numPr>
        <w:spacing w:after="193" w:line="327" w:lineRule="auto"/>
        <w:ind w:hanging="431"/>
      </w:pPr>
      <w:r>
        <w:rPr>
          <w:rFonts w:cs="Calibri"/>
        </w:rPr>
        <w:t>Hans-Bernd Schäfer and Alexander J. Wulf, ‘Jurists, Clerics, and Merchants: The Rise of Learned Law in Medieval Europe and its Impact on Economic Growth’, (2014) 11 Jour</w:t>
      </w:r>
      <w:r>
        <w:rPr>
          <w:rFonts w:cs="Calibri"/>
          <w:i/>
        </w:rPr>
        <w:t>nal of Empi</w:t>
      </w:r>
      <w:r>
        <w:rPr>
          <w:rFonts w:cs="Calibri"/>
          <w:i/>
        </w:rPr>
        <w:t>rical Legal Studies</w:t>
      </w:r>
      <w:r>
        <w:rPr>
          <w:rFonts w:cs="Calibri"/>
        </w:rPr>
        <w:t xml:space="preserve"> </w:t>
      </w:r>
      <w:r>
        <w:t>266.</w:t>
      </w:r>
    </w:p>
    <w:p w:rsidR="00441B30" w:rsidRDefault="00C96797">
      <w:pPr>
        <w:numPr>
          <w:ilvl w:val="0"/>
          <w:numId w:val="2"/>
        </w:numPr>
        <w:spacing w:after="193" w:line="327" w:lineRule="auto"/>
        <w:ind w:hanging="431"/>
      </w:pPr>
      <w:r>
        <w:rPr>
          <w:rFonts w:cs="Calibri"/>
        </w:rPr>
        <w:t xml:space="preserve">Reinhard Zimmermann, ‘Der europäische Charakter des englischen Rechts’, (1993) 1 </w:t>
      </w:r>
      <w:r>
        <w:rPr>
          <w:rFonts w:cs="Calibri"/>
          <w:i/>
        </w:rPr>
        <w:t>Zeitschrift für europäisches Privatrecht</w:t>
      </w:r>
      <w:r>
        <w:rPr>
          <w:rFonts w:cs="Calibri"/>
        </w:rPr>
        <w:t xml:space="preserve"> </w:t>
      </w:r>
      <w:r>
        <w:t xml:space="preserve">4 ff; On the contributions of English civilians in </w:t>
      </w:r>
      <w:r>
        <w:rPr>
          <w:rFonts w:cs="Calibri"/>
        </w:rPr>
        <w:t xml:space="preserve">the making of English law: Daniel </w:t>
      </w:r>
      <w:r>
        <w:rPr>
          <w:rFonts w:cs="Calibri"/>
        </w:rPr>
        <w:lastRenderedPageBreak/>
        <w:t>Coquillette, ‘Legal Ideo</w:t>
      </w:r>
      <w:r>
        <w:rPr>
          <w:rFonts w:cs="Calibri"/>
        </w:rPr>
        <w:t xml:space="preserve">logy and Incorporation I-IV’, </w:t>
      </w:r>
      <w:r>
        <w:t>[1987]</w:t>
      </w:r>
      <w:r>
        <w:rPr>
          <w:rFonts w:cs="Calibri"/>
        </w:rPr>
        <w:t xml:space="preserve"> </w:t>
      </w:r>
      <w:r>
        <w:rPr>
          <w:rFonts w:cs="Calibri"/>
          <w:i/>
        </w:rPr>
        <w:t>Boston University LR</w:t>
      </w:r>
      <w:r>
        <w:rPr>
          <w:rFonts w:cs="Calibri"/>
        </w:rPr>
        <w:t xml:space="preserve"> 67, 877–970; the series </w:t>
      </w:r>
      <w:r>
        <w:rPr>
          <w:rFonts w:cs="Calibri"/>
          <w:i/>
        </w:rPr>
        <w:t>Comparative Studies in Continental and Anglo-American Legal History</w:t>
      </w:r>
      <w:r>
        <w:rPr>
          <w:rFonts w:cs="Calibri"/>
        </w:rPr>
        <w:t xml:space="preserve"> </w:t>
      </w:r>
      <w:r>
        <w:t>has published several important works on this subject.</w:t>
      </w:r>
    </w:p>
    <w:p w:rsidR="00441B30" w:rsidRDefault="00C96797">
      <w:pPr>
        <w:numPr>
          <w:ilvl w:val="0"/>
          <w:numId w:val="2"/>
        </w:numPr>
        <w:spacing w:after="201" w:line="321" w:lineRule="auto"/>
        <w:ind w:hanging="431"/>
      </w:pPr>
      <w:r>
        <w:t>David J. Ibbetson,</w:t>
      </w:r>
      <w:r>
        <w:rPr>
          <w:rFonts w:cs="Calibri"/>
        </w:rPr>
        <w:t xml:space="preserve"> </w:t>
      </w:r>
      <w:r>
        <w:rPr>
          <w:rFonts w:cs="Calibri"/>
          <w:i/>
        </w:rPr>
        <w:t>A Historical Introduction to the</w:t>
      </w:r>
      <w:r>
        <w:rPr>
          <w:rFonts w:cs="Calibri"/>
          <w:i/>
        </w:rPr>
        <w:t xml:space="preserve"> Law of Obligations</w:t>
      </w:r>
      <w:r>
        <w:rPr>
          <w:rFonts w:cs="Calibri"/>
        </w:rPr>
        <w:t xml:space="preserve"> </w:t>
      </w:r>
      <w:r>
        <w:t>(1999);</w:t>
      </w:r>
      <w:r>
        <w:rPr>
          <w:rFonts w:cs="Calibri"/>
        </w:rPr>
        <w:t xml:space="preserve"> </w:t>
      </w:r>
      <w:r>
        <w:rPr>
          <w:rFonts w:cs="Calibri"/>
          <w:i/>
        </w:rPr>
        <w:t>idem</w:t>
      </w:r>
      <w:r>
        <w:t xml:space="preserve">, </w:t>
      </w:r>
      <w:r>
        <w:rPr>
          <w:rFonts w:cs="Calibri"/>
        </w:rPr>
        <w:t xml:space="preserve">‘ “The Law of Business Rome”: Foundations of the Anglo-American Tort of Negligence’, </w:t>
      </w:r>
      <w:r>
        <w:t>(1999) 52</w:t>
      </w:r>
      <w:r>
        <w:rPr>
          <w:rFonts w:cs="Calibri"/>
        </w:rPr>
        <w:t xml:space="preserve"> </w:t>
      </w:r>
      <w:r>
        <w:rPr>
          <w:rFonts w:cs="Calibri"/>
          <w:i/>
        </w:rPr>
        <w:t>CLP</w:t>
      </w:r>
      <w:r>
        <w:rPr>
          <w:rFonts w:cs="Calibri"/>
        </w:rPr>
        <w:t xml:space="preserve"> </w:t>
      </w:r>
      <w:r>
        <w:t>74.</w:t>
      </w:r>
    </w:p>
    <w:p w:rsidR="00441B30" w:rsidRDefault="00C96797">
      <w:pPr>
        <w:numPr>
          <w:ilvl w:val="0"/>
          <w:numId w:val="2"/>
        </w:numPr>
        <w:ind w:hanging="431"/>
      </w:pPr>
      <w:r>
        <w:t>Richard Helmholz and Reinhard Zimmermann (eds),</w:t>
      </w:r>
      <w:r>
        <w:rPr>
          <w:rFonts w:cs="Calibri"/>
        </w:rPr>
        <w:t xml:space="preserve"> Itinera Fiduciae: Trust and Treu</w:t>
      </w:r>
      <w:r>
        <w:rPr>
          <w:rFonts w:cs="Calibri"/>
          <w:i/>
        </w:rPr>
        <w:t>hand in Historical Perspective</w:t>
      </w:r>
      <w:r>
        <w:rPr>
          <w:rFonts w:cs="Calibri"/>
        </w:rPr>
        <w:t xml:space="preserve"> </w:t>
      </w:r>
      <w:r>
        <w:t xml:space="preserve">(1998); </w:t>
      </w:r>
      <w:r>
        <w:t>Michele Graziadei, Ugo Mattei, and Lionel Smith (eds),</w:t>
      </w:r>
      <w:r>
        <w:rPr>
          <w:rFonts w:cs="Calibri"/>
        </w:rPr>
        <w:t xml:space="preserve"> </w:t>
      </w:r>
      <w:r>
        <w:rPr>
          <w:rFonts w:cs="Calibri"/>
          <w:i/>
        </w:rPr>
        <w:t>Commercial Trusts in European Private Law</w:t>
      </w:r>
      <w:r>
        <w:rPr>
          <w:rFonts w:cs="Calibri"/>
        </w:rPr>
        <w:t xml:space="preserve"> (2005); Maurizio Lupoi, ‘Trust and Confidence’ (2009) 125 </w:t>
      </w:r>
      <w:r>
        <w:rPr>
          <w:rFonts w:cs="Calibri"/>
          <w:i/>
        </w:rPr>
        <w:t>LQR</w:t>
      </w:r>
      <w:r>
        <w:rPr>
          <w:rFonts w:cs="Calibri"/>
        </w:rPr>
        <w:t xml:space="preserve"> </w:t>
      </w:r>
      <w:r>
        <w:t>253.</w:t>
      </w:r>
    </w:p>
    <w:p w:rsidR="00441B30" w:rsidRDefault="00C96797">
      <w:pPr>
        <w:numPr>
          <w:ilvl w:val="0"/>
          <w:numId w:val="2"/>
        </w:numPr>
        <w:spacing w:after="193" w:line="327" w:lineRule="auto"/>
        <w:ind w:hanging="431"/>
      </w:pPr>
      <w:r>
        <w:rPr>
          <w:rFonts w:cs="Calibri"/>
        </w:rPr>
        <w:t>Michele Graziadei, ‘Changing Images of the Law in XIX Century English Legal Thought (The Con</w:t>
      </w:r>
      <w:r>
        <w:rPr>
          <w:rFonts w:cs="Calibri"/>
        </w:rPr>
        <w:t xml:space="preserve">tinental Impulse)’, in Mathias Reimann (ed), The Reception of Continental Ideas in the Common Law World 1820–1920 </w:t>
      </w:r>
      <w:r>
        <w:t>(1993), 115 ff.</w:t>
      </w:r>
    </w:p>
    <w:p w:rsidR="00441B30" w:rsidRDefault="00C96797">
      <w:pPr>
        <w:numPr>
          <w:ilvl w:val="0"/>
          <w:numId w:val="2"/>
        </w:numPr>
        <w:spacing w:after="193" w:line="327" w:lineRule="auto"/>
        <w:ind w:hanging="431"/>
      </w:pPr>
      <w:r>
        <w:rPr>
          <w:rFonts w:cs="Calibri"/>
        </w:rPr>
        <w:t xml:space="preserve">Mathias Reimann, ‘Continental Imports: The Influence of European Law and Jurispru­dence in the United States’, (1996) 65 </w:t>
      </w:r>
      <w:r>
        <w:rPr>
          <w:rFonts w:cs="Calibri"/>
          <w:i/>
        </w:rPr>
        <w:t>Tijds</w:t>
      </w:r>
      <w:r>
        <w:rPr>
          <w:rFonts w:cs="Calibri"/>
          <w:i/>
        </w:rPr>
        <w:t>chrift voor rechtsgeschiedenis</w:t>
      </w:r>
      <w:r>
        <w:rPr>
          <w:rFonts w:cs="Calibri"/>
        </w:rPr>
        <w:t xml:space="preserve"> </w:t>
      </w:r>
      <w:r>
        <w:t xml:space="preserve">391; Michel H. </w:t>
      </w:r>
      <w:r>
        <w:rPr>
          <w:rFonts w:cs="Calibri"/>
        </w:rPr>
        <w:t xml:space="preserve">Hoeflich, ‘Translation and the Reception of Foreign Law in the Antebellum United States’, </w:t>
      </w:r>
      <w:r>
        <w:t>(2002) 50</w:t>
      </w:r>
      <w:r>
        <w:rPr>
          <w:rFonts w:cs="Calibri"/>
        </w:rPr>
        <w:t xml:space="preserve"> </w:t>
      </w:r>
      <w:r>
        <w:rPr>
          <w:rFonts w:cs="Calibri"/>
          <w:i/>
        </w:rPr>
        <w:t>AJCL</w:t>
      </w:r>
      <w:r>
        <w:rPr>
          <w:rFonts w:cs="Calibri"/>
        </w:rPr>
        <w:t xml:space="preserve"> 753. On the heritage of Spanish and French law derived from early set</w:t>
      </w:r>
      <w:r>
        <w:t>tlers and conquerors: Rudolf B. Schl</w:t>
      </w:r>
      <w:r>
        <w:t>esinger et al,</w:t>
      </w:r>
      <w:r>
        <w:rPr>
          <w:rFonts w:cs="Calibri"/>
        </w:rPr>
        <w:t xml:space="preserve"> Comparative Law: Cases—Text—Materi</w:t>
      </w:r>
      <w:r>
        <w:rPr>
          <w:rFonts w:cs="Calibri"/>
          <w:i/>
        </w:rPr>
        <w:t>als</w:t>
      </w:r>
      <w:r>
        <w:rPr>
          <w:rFonts w:cs="Calibri"/>
        </w:rPr>
        <w:t xml:space="preserve"> </w:t>
      </w:r>
      <w:r>
        <w:t>(6th edn, 1998), 16 ff.</w:t>
      </w:r>
    </w:p>
    <w:p w:rsidR="00441B30" w:rsidRDefault="00C96797">
      <w:pPr>
        <w:numPr>
          <w:ilvl w:val="0"/>
          <w:numId w:val="2"/>
        </w:numPr>
        <w:ind w:hanging="431"/>
      </w:pPr>
      <w:r>
        <w:t>The previous edition of this chapter refers to the literature on the diffusion of the French Code and other codes across the world. These citations are mostly omitted here to ment</w:t>
      </w:r>
      <w:r>
        <w:t>ion some new contributions on the topic. The best overview in English to the end of the twentieth century is still Konrad Zweigert and Hein Kötz,</w:t>
      </w:r>
      <w:r>
        <w:rPr>
          <w:rFonts w:cs="Calibri"/>
        </w:rPr>
        <w:t xml:space="preserve"> </w:t>
      </w:r>
      <w:r>
        <w:rPr>
          <w:rFonts w:cs="Calibri"/>
          <w:i/>
        </w:rPr>
        <w:t>Introduction to Comparative Law</w:t>
      </w:r>
      <w:r>
        <w:rPr>
          <w:rFonts w:cs="Calibri"/>
        </w:rPr>
        <w:t xml:space="preserve"> (transl Tony Weir, 3rd edn, 1998), 100–22.</w:t>
      </w:r>
    </w:p>
    <w:p w:rsidR="00441B30" w:rsidRDefault="00C96797">
      <w:pPr>
        <w:numPr>
          <w:ilvl w:val="0"/>
          <w:numId w:val="2"/>
        </w:numPr>
        <w:spacing w:after="201" w:line="321" w:lineRule="auto"/>
        <w:ind w:hanging="431"/>
      </w:pPr>
      <w:r>
        <w:rPr>
          <w:rFonts w:cs="Calibri"/>
        </w:rPr>
        <w:t>Thiruvallore Arvindand, Lindsay Sti</w:t>
      </w:r>
      <w:r>
        <w:rPr>
          <w:rFonts w:cs="Calibri"/>
        </w:rPr>
        <w:t xml:space="preserve">rton, ‘Explaining the Reception of the Code Napoleon in Germany: a Fuzzy—Set Qualitative Comparative Analysis’ (2010) 30 </w:t>
      </w:r>
      <w:r>
        <w:rPr>
          <w:rFonts w:cs="Calibri"/>
          <w:i/>
        </w:rPr>
        <w:t>Legal Studies</w:t>
      </w:r>
      <w:r>
        <w:rPr>
          <w:rFonts w:cs="Calibri"/>
        </w:rPr>
        <w:t xml:space="preserve"> </w:t>
      </w:r>
      <w:r>
        <w:t>1.</w:t>
      </w:r>
    </w:p>
    <w:p w:rsidR="00441B30" w:rsidRDefault="00C96797">
      <w:pPr>
        <w:numPr>
          <w:ilvl w:val="0"/>
          <w:numId w:val="2"/>
        </w:numPr>
        <w:spacing w:after="195" w:line="326" w:lineRule="auto"/>
        <w:ind w:hanging="431"/>
      </w:pPr>
      <w:r>
        <w:t>John Cairns,</w:t>
      </w:r>
      <w:r>
        <w:rPr>
          <w:rFonts w:cs="Calibri"/>
        </w:rPr>
        <w:t xml:space="preserve"> </w:t>
      </w:r>
      <w:r>
        <w:rPr>
          <w:rFonts w:cs="Calibri"/>
          <w:i/>
        </w:rPr>
        <w:t>Codification, Transplants and History: Law Reform in Louisiana (1808) and Quebec (1866)</w:t>
      </w:r>
      <w:r>
        <w:rPr>
          <w:rFonts w:cs="Calibri"/>
        </w:rPr>
        <w:t xml:space="preserve"> </w:t>
      </w:r>
      <w:r>
        <w:t>(2015).</w:t>
      </w:r>
    </w:p>
    <w:p w:rsidR="00441B30" w:rsidRDefault="00C96797">
      <w:pPr>
        <w:numPr>
          <w:ilvl w:val="0"/>
          <w:numId w:val="2"/>
        </w:numPr>
        <w:spacing w:after="193" w:line="327" w:lineRule="auto"/>
        <w:ind w:hanging="431"/>
      </w:pPr>
      <w:r>
        <w:rPr>
          <w:rFonts w:cs="Calibri"/>
        </w:rPr>
        <w:t xml:space="preserve">Matthew C. Mirow, ‘Borrowing Private Law in Latin America: Andres Bello’s Use of the Code Napoleon in Drafting the Chilean Civil Code’, (2000) 61 </w:t>
      </w:r>
      <w:r>
        <w:rPr>
          <w:rFonts w:cs="Calibri"/>
          <w:i/>
        </w:rPr>
        <w:t>Louisiana LR</w:t>
      </w:r>
      <w:r>
        <w:rPr>
          <w:rFonts w:cs="Calibri"/>
        </w:rPr>
        <w:t xml:space="preserve"> 291; Francisco J. Andrés Santos, ‘Napoleon in America ? Reflections on the Concept of ‘Legal Rece</w:t>
      </w:r>
      <w:r>
        <w:rPr>
          <w:rFonts w:cs="Calibri"/>
        </w:rPr>
        <w:t xml:space="preserve">ption’ in the Light of the Civil Law Codification in Latin America, in Thomas Duve (ed), </w:t>
      </w:r>
      <w:r>
        <w:rPr>
          <w:rFonts w:cs="Calibri"/>
          <w:i/>
        </w:rPr>
        <w:t>Entanglements in Legal History: Conceptual Approaches</w:t>
      </w:r>
      <w:r>
        <w:rPr>
          <w:rFonts w:cs="Calibri"/>
        </w:rPr>
        <w:t xml:space="preserve"> (2014), 297 ff, 308 (‘The French model was initially accepted [or adapted], but then it was neglected [or, at lea</w:t>
      </w:r>
      <w:r>
        <w:rPr>
          <w:rFonts w:cs="Calibri"/>
        </w:rPr>
        <w:t>st, diluted]’).</w:t>
      </w:r>
    </w:p>
    <w:p w:rsidR="00441B30" w:rsidRDefault="00C96797">
      <w:pPr>
        <w:numPr>
          <w:ilvl w:val="0"/>
          <w:numId w:val="2"/>
        </w:numPr>
        <w:spacing w:after="193" w:line="327" w:lineRule="auto"/>
        <w:ind w:hanging="431"/>
      </w:pPr>
      <w:r>
        <w:rPr>
          <w:rFonts w:cs="Calibri"/>
        </w:rPr>
        <w:t xml:space="preserve">Matthew C. Mirow, ‘The Code Napoleon: Buried but Ruling in Latin America’, (2004) </w:t>
      </w:r>
      <w:r>
        <w:t>33</w:t>
      </w:r>
      <w:r>
        <w:rPr>
          <w:rFonts w:cs="Calibri"/>
        </w:rPr>
        <w:t xml:space="preserve"> </w:t>
      </w:r>
      <w:r>
        <w:rPr>
          <w:rFonts w:cs="Calibri"/>
          <w:i/>
        </w:rPr>
        <w:t>Denver Journal of International Law and Policy 33</w:t>
      </w:r>
      <w:r>
        <w:t xml:space="preserve">, 179; Olivier Moréteau and Agustin </w:t>
      </w:r>
      <w:r>
        <w:rPr>
          <w:rFonts w:cs="Calibri"/>
        </w:rPr>
        <w:t xml:space="preserve">Parise, ‘Recodification in Louisiana and Latin America’, (2009) 83 </w:t>
      </w:r>
      <w:r>
        <w:rPr>
          <w:rFonts w:cs="Calibri"/>
          <w:i/>
        </w:rPr>
        <w:t>Tul</w:t>
      </w:r>
      <w:r>
        <w:rPr>
          <w:rFonts w:cs="Calibri"/>
          <w:i/>
        </w:rPr>
        <w:t>ane LR</w:t>
      </w:r>
      <w:r>
        <w:rPr>
          <w:rFonts w:cs="Calibri"/>
        </w:rPr>
        <w:t xml:space="preserve"> </w:t>
      </w:r>
      <w:r>
        <w:t>1103.</w:t>
      </w:r>
    </w:p>
    <w:p w:rsidR="00441B30" w:rsidRDefault="00C96797">
      <w:pPr>
        <w:numPr>
          <w:ilvl w:val="0"/>
          <w:numId w:val="2"/>
        </w:numPr>
        <w:spacing w:after="195" w:line="326" w:lineRule="auto"/>
        <w:ind w:hanging="431"/>
      </w:pPr>
      <w:r>
        <w:t>Guy Bechor,</w:t>
      </w:r>
      <w:r>
        <w:rPr>
          <w:rFonts w:cs="Calibri"/>
        </w:rPr>
        <w:t xml:space="preserve"> </w:t>
      </w:r>
      <w:r>
        <w:rPr>
          <w:rFonts w:cs="Calibri"/>
          <w:i/>
        </w:rPr>
        <w:t>The Sanhuri Code, and the Emergence of Modern Arab Civil Law (1932 to 1949)</w:t>
      </w:r>
      <w:r>
        <w:rPr>
          <w:rFonts w:cs="Calibri"/>
        </w:rPr>
        <w:t xml:space="preserve"> </w:t>
      </w:r>
      <w:r>
        <w:t>(2007); Wood (n 13).</w:t>
      </w:r>
    </w:p>
    <w:p w:rsidR="00441B30" w:rsidRDefault="00C96797">
      <w:pPr>
        <w:numPr>
          <w:ilvl w:val="0"/>
          <w:numId w:val="2"/>
        </w:numPr>
        <w:spacing w:after="193" w:line="327" w:lineRule="auto"/>
        <w:ind w:hanging="431"/>
      </w:pPr>
      <w:r>
        <w:rPr>
          <w:rFonts w:cs="Calibri"/>
        </w:rPr>
        <w:lastRenderedPageBreak/>
        <w:t xml:space="preserve">James Gordley, ‘Myths of the French Civil Code’, (1994) 42 </w:t>
      </w:r>
      <w:r>
        <w:rPr>
          <w:rFonts w:cs="Calibri"/>
          <w:i/>
        </w:rPr>
        <w:t>AJCL</w:t>
      </w:r>
      <w:r>
        <w:rPr>
          <w:rFonts w:cs="Calibri"/>
        </w:rPr>
        <w:t xml:space="preserve"> </w:t>
      </w:r>
      <w:r>
        <w:t>459; Arvindand and Stirton (n 26).</w:t>
      </w:r>
    </w:p>
    <w:p w:rsidR="00441B30" w:rsidRDefault="00C96797">
      <w:pPr>
        <w:numPr>
          <w:ilvl w:val="0"/>
          <w:numId w:val="2"/>
        </w:numPr>
        <w:spacing w:after="195" w:line="326" w:lineRule="auto"/>
        <w:ind w:hanging="431"/>
      </w:pPr>
      <w:r>
        <w:rPr>
          <w:rFonts w:cs="Calibri"/>
        </w:rPr>
        <w:t>Xianchu Zhang, ‘The New Round of Ci</w:t>
      </w:r>
      <w:r>
        <w:rPr>
          <w:rFonts w:cs="Calibri"/>
        </w:rPr>
        <w:t>vil Law Codification in China’, (2016) 1 Univer</w:t>
      </w:r>
      <w:r>
        <w:rPr>
          <w:rFonts w:cs="Calibri"/>
          <w:i/>
        </w:rPr>
        <w:t>sity of Bologna LR</w:t>
      </w:r>
      <w:r>
        <w:rPr>
          <w:rFonts w:cs="Calibri"/>
        </w:rPr>
        <w:t xml:space="preserve"> </w:t>
      </w:r>
      <w:r>
        <w:t>137; Philip C. Huang,</w:t>
      </w:r>
      <w:r>
        <w:rPr>
          <w:rFonts w:cs="Calibri"/>
        </w:rPr>
        <w:t xml:space="preserve"> </w:t>
      </w:r>
      <w:r>
        <w:rPr>
          <w:rFonts w:cs="Calibri"/>
          <w:i/>
        </w:rPr>
        <w:t>Code, Custom, and Legal Practice in China: The Qing and the Republic Compared</w:t>
      </w:r>
      <w:r>
        <w:rPr>
          <w:rFonts w:cs="Calibri"/>
        </w:rPr>
        <w:t xml:space="preserve"> </w:t>
      </w:r>
      <w:r>
        <w:t>(2001).</w:t>
      </w:r>
    </w:p>
    <w:p w:rsidR="00441B30" w:rsidRDefault="00C96797">
      <w:pPr>
        <w:numPr>
          <w:ilvl w:val="0"/>
          <w:numId w:val="2"/>
        </w:numPr>
        <w:spacing w:after="193" w:line="327" w:lineRule="auto"/>
        <w:ind w:hanging="431"/>
      </w:pPr>
      <w:r>
        <w:rPr>
          <w:rFonts w:cs="Calibri"/>
        </w:rPr>
        <w:t>On the relationship between the code and the previous sources: Ruth A. Miller, ‘Th</w:t>
      </w:r>
      <w:r>
        <w:rPr>
          <w:rFonts w:cs="Calibri"/>
        </w:rPr>
        <w:t xml:space="preserve">e Ottoman and Islamic Substratum of Turkey’s Swiss Civil Code’, (2000) 11 </w:t>
      </w:r>
      <w:r>
        <w:rPr>
          <w:rFonts w:cs="Calibri"/>
          <w:i/>
        </w:rPr>
        <w:t>Oxford Journal of Islamic Studies</w:t>
      </w:r>
      <w:r>
        <w:rPr>
          <w:rFonts w:cs="Calibri"/>
        </w:rPr>
        <w:t xml:space="preserve"> </w:t>
      </w:r>
      <w:r>
        <w:t>335.</w:t>
      </w:r>
    </w:p>
    <w:p w:rsidR="00441B30" w:rsidRDefault="00C96797">
      <w:pPr>
        <w:numPr>
          <w:ilvl w:val="0"/>
          <w:numId w:val="2"/>
        </w:numPr>
        <w:spacing w:after="0" w:line="327" w:lineRule="auto"/>
        <w:ind w:hanging="431"/>
      </w:pPr>
      <w:r>
        <w:rPr>
          <w:rFonts w:cs="Calibri"/>
        </w:rPr>
        <w:t xml:space="preserve">Esin Örücü, ‘Comparatists and Extraordinary Places’, in Pierre Legrand and Roderick </w:t>
      </w:r>
      <w:r>
        <w:t>Munday (eds),</w:t>
      </w:r>
      <w:r>
        <w:rPr>
          <w:rFonts w:cs="Calibri"/>
        </w:rPr>
        <w:t xml:space="preserve"> </w:t>
      </w:r>
      <w:r>
        <w:rPr>
          <w:rFonts w:cs="Calibri"/>
          <w:i/>
        </w:rPr>
        <w:t>Comparative Legal Studies: Traditions and Tra</w:t>
      </w:r>
      <w:r>
        <w:rPr>
          <w:rFonts w:cs="Calibri"/>
          <w:i/>
        </w:rPr>
        <w:t>nsitions</w:t>
      </w:r>
      <w:r>
        <w:rPr>
          <w:rFonts w:cs="Calibri"/>
        </w:rPr>
        <w:t xml:space="preserve"> </w:t>
      </w:r>
      <w:r>
        <w:t xml:space="preserve">(2003), 467, 477 ff; </w:t>
      </w:r>
      <w:r>
        <w:rPr>
          <w:rFonts w:cs="Calibri"/>
        </w:rPr>
        <w:t xml:space="preserve">Serap Kavas and Arland Thornton, ‘Adjustment and Hybridity in Turkish Family Change: </w:t>
      </w:r>
    </w:p>
    <w:p w:rsidR="00441B30" w:rsidRDefault="00C96797">
      <w:pPr>
        <w:spacing w:after="0" w:line="327" w:lineRule="auto"/>
        <w:ind w:left="-5"/>
      </w:pPr>
      <w:r>
        <w:rPr>
          <w:rFonts w:cs="Calibri"/>
        </w:rPr>
        <w:t xml:space="preserve">Perspectives from Developmental Idealism’ (2013) 38 </w:t>
      </w:r>
      <w:r>
        <w:rPr>
          <w:rFonts w:cs="Calibri"/>
          <w:i/>
        </w:rPr>
        <w:t>Journal of Family History</w:t>
      </w:r>
      <w:r>
        <w:rPr>
          <w:rFonts w:cs="Calibri"/>
        </w:rPr>
        <w:t xml:space="preserve"> </w:t>
      </w:r>
      <w:r>
        <w:t xml:space="preserve">223; Ihsan </w:t>
      </w:r>
      <w:r>
        <w:rPr>
          <w:rFonts w:cs="Calibri"/>
        </w:rPr>
        <w:t>Yilmaz, ‘Semi-official Turkish Muslim Legal Plurali</w:t>
      </w:r>
      <w:r>
        <w:rPr>
          <w:rFonts w:cs="Calibri"/>
        </w:rPr>
        <w:t xml:space="preserve">sm: Encounters Between Secular Official Law and Unofficial Shari’a’, in Adam Possamai, James T. Richardson, and Bryan S. </w:t>
      </w:r>
    </w:p>
    <w:p w:rsidR="00441B30" w:rsidRDefault="00C96797">
      <w:pPr>
        <w:spacing w:after="275" w:line="259" w:lineRule="auto"/>
        <w:ind w:left="-5"/>
      </w:pPr>
      <w:r>
        <w:t>Turner (eds),</w:t>
      </w:r>
      <w:r>
        <w:rPr>
          <w:rFonts w:cs="Calibri"/>
        </w:rPr>
        <w:t xml:space="preserve"> The Sociology of Shari’a: Case Studies from around the World </w:t>
      </w:r>
      <w:r>
        <w:t>(2015), 51 ff.</w:t>
      </w:r>
    </w:p>
    <w:p w:rsidR="00441B30" w:rsidRDefault="00C96797">
      <w:pPr>
        <w:numPr>
          <w:ilvl w:val="0"/>
          <w:numId w:val="2"/>
        </w:numPr>
        <w:spacing w:after="193" w:line="327" w:lineRule="auto"/>
        <w:ind w:hanging="431"/>
      </w:pPr>
      <w:r>
        <w:t>cf</w:t>
      </w:r>
      <w:r>
        <w:rPr>
          <w:rFonts w:cs="Calibri"/>
        </w:rPr>
        <w:t xml:space="preserve"> </w:t>
      </w:r>
      <w:r>
        <w:rPr>
          <w:rFonts w:cs="Calibri"/>
          <w:i/>
        </w:rPr>
        <w:t>Mabo and others v Queensland</w:t>
      </w:r>
      <w:r>
        <w:rPr>
          <w:rFonts w:cs="Calibri"/>
        </w:rPr>
        <w:t xml:space="preserve"> </w:t>
      </w:r>
      <w:r>
        <w:t>(No. 2) (199</w:t>
      </w:r>
      <w:r>
        <w:t xml:space="preserve">2) 175 CLR 1. See Kent Macneil, </w:t>
      </w:r>
      <w:r>
        <w:rPr>
          <w:rFonts w:cs="Calibri"/>
        </w:rPr>
        <w:t xml:space="preserve">‘Indigenous Territorial Rights in the Common Law’, in Michele Graziadei and Lionel </w:t>
      </w:r>
      <w:r>
        <w:t>Smith (eds),</w:t>
      </w:r>
      <w:r>
        <w:rPr>
          <w:rFonts w:cs="Calibri"/>
        </w:rPr>
        <w:t xml:space="preserve"> </w:t>
      </w:r>
      <w:r>
        <w:rPr>
          <w:rFonts w:cs="Calibri"/>
          <w:i/>
        </w:rPr>
        <w:t>Comparative Property Law: Global Perspectives</w:t>
      </w:r>
      <w:r>
        <w:rPr>
          <w:rFonts w:cs="Calibri"/>
        </w:rPr>
        <w:t xml:space="preserve"> </w:t>
      </w:r>
      <w:r>
        <w:t>(2017), 412 ff.</w:t>
      </w:r>
    </w:p>
    <w:p w:rsidR="00441B30" w:rsidRDefault="00C96797">
      <w:pPr>
        <w:numPr>
          <w:ilvl w:val="0"/>
          <w:numId w:val="2"/>
        </w:numPr>
        <w:spacing w:after="193" w:line="327" w:lineRule="auto"/>
        <w:ind w:hanging="431"/>
      </w:pPr>
      <w:r>
        <w:rPr>
          <w:rFonts w:cs="Calibri"/>
        </w:rPr>
        <w:t>On the situation in Canada, Jacques Vanderlinden, ‘La réception de</w:t>
      </w:r>
      <w:r>
        <w:rPr>
          <w:rFonts w:cs="Calibri"/>
        </w:rPr>
        <w:t xml:space="preserve">s systèmes ju­ridiques européens au Canada’, Revue d’histoire du droit </w:t>
      </w:r>
      <w:r>
        <w:t xml:space="preserve">(1996), 359 ff; on the British </w:t>
      </w:r>
      <w:r>
        <w:rPr>
          <w:rFonts w:cs="Calibri"/>
        </w:rPr>
        <w:t>colonies in Africa: Gordon R. Woodman, ‘The Peculiar Policy of Recognition of Indigenous Laws in British Colonial Africa: A Preliminary Discussion’, in [1</w:t>
      </w:r>
      <w:r>
        <w:rPr>
          <w:rFonts w:cs="Calibri"/>
        </w:rPr>
        <w:t xml:space="preserve">989] </w:t>
      </w:r>
      <w:r>
        <w:rPr>
          <w:rFonts w:cs="Calibri"/>
          <w:i/>
        </w:rPr>
        <w:t>Verfassung und Recht in Übersee</w:t>
      </w:r>
      <w:r>
        <w:rPr>
          <w:rFonts w:cs="Calibri"/>
        </w:rPr>
        <w:t xml:space="preserve"> 273; Robert B. Seidman, ‘The Reception of English Law in Colonial Africa’, in </w:t>
      </w:r>
      <w:r>
        <w:t>Yash Ghai, Robin Luckham, and Francis Snyder (eds),</w:t>
      </w:r>
      <w:r>
        <w:rPr>
          <w:rFonts w:cs="Calibri"/>
        </w:rPr>
        <w:t xml:space="preserve"> </w:t>
      </w:r>
      <w:r>
        <w:rPr>
          <w:rFonts w:cs="Calibri"/>
          <w:i/>
        </w:rPr>
        <w:t>The Political Economy of Law</w:t>
      </w:r>
      <w:r>
        <w:rPr>
          <w:rFonts w:cs="Calibri"/>
        </w:rPr>
        <w:t xml:space="preserve"> </w:t>
      </w:r>
      <w:r>
        <w:t>(2nd edn, 1987).</w:t>
      </w:r>
    </w:p>
    <w:p w:rsidR="00441B30" w:rsidRDefault="00C96797">
      <w:pPr>
        <w:numPr>
          <w:ilvl w:val="0"/>
          <w:numId w:val="2"/>
        </w:numPr>
        <w:ind w:hanging="431"/>
      </w:pPr>
      <w:r>
        <w:t>Werner Menski,</w:t>
      </w:r>
      <w:r>
        <w:rPr>
          <w:rFonts w:cs="Calibri"/>
        </w:rPr>
        <w:t xml:space="preserve"> </w:t>
      </w:r>
      <w:r>
        <w:rPr>
          <w:rFonts w:cs="Calibri"/>
          <w:i/>
        </w:rPr>
        <w:t>Hindu Law beyond Tradition and Modernity</w:t>
      </w:r>
      <w:r>
        <w:rPr>
          <w:rFonts w:cs="Calibri"/>
        </w:rPr>
        <w:t xml:space="preserve"> </w:t>
      </w:r>
      <w:r>
        <w:t>(2003), 131 ff, illustrates the impact of English rule on Hindu law. Muslim law was subject to similar pressure.</w:t>
      </w:r>
    </w:p>
    <w:p w:rsidR="00441B30" w:rsidRDefault="00C96797">
      <w:pPr>
        <w:numPr>
          <w:ilvl w:val="0"/>
          <w:numId w:val="2"/>
        </w:numPr>
        <w:spacing w:after="195" w:line="326" w:lineRule="auto"/>
        <w:ind w:hanging="431"/>
      </w:pPr>
      <w:r>
        <w:rPr>
          <w:rFonts w:cs="Calibri"/>
          <w:i/>
        </w:rPr>
        <w:t>Waghela Rajsanji v Shekh Masludin</w:t>
      </w:r>
      <w:r>
        <w:rPr>
          <w:rFonts w:cs="Calibri"/>
        </w:rPr>
        <w:t xml:space="preserve"> </w:t>
      </w:r>
      <w:r>
        <w:t xml:space="preserve">(1887) 14 Ind App 89, 96 (PC). See Martin Lau, </w:t>
      </w:r>
      <w:r>
        <w:rPr>
          <w:rFonts w:cs="Calibri"/>
        </w:rPr>
        <w:t>‘The Reception of Com</w:t>
      </w:r>
      <w:r>
        <w:rPr>
          <w:rFonts w:cs="Calibri"/>
        </w:rPr>
        <w:t xml:space="preserve">mon Law in India’, in Michel Doucet and Jacques Vanderlinden </w:t>
      </w:r>
      <w:r>
        <w:t>(eds),</w:t>
      </w:r>
      <w:r>
        <w:rPr>
          <w:rFonts w:cs="Calibri"/>
        </w:rPr>
        <w:t xml:space="preserve"> </w:t>
      </w:r>
      <w:r>
        <w:rPr>
          <w:rFonts w:cs="Calibri"/>
          <w:i/>
        </w:rPr>
        <w:t>La réception des systèmes juridiques: implantation et destin</w:t>
      </w:r>
      <w:r>
        <w:rPr>
          <w:rFonts w:cs="Calibri"/>
        </w:rPr>
        <w:t xml:space="preserve"> </w:t>
      </w:r>
      <w:r>
        <w:t>(1994), 266 ff.</w:t>
      </w:r>
    </w:p>
    <w:p w:rsidR="00441B30" w:rsidRDefault="00C96797">
      <w:pPr>
        <w:numPr>
          <w:ilvl w:val="0"/>
          <w:numId w:val="2"/>
        </w:numPr>
        <w:spacing w:after="193" w:line="327" w:lineRule="auto"/>
        <w:ind w:hanging="431"/>
      </w:pPr>
      <w:r>
        <w:rPr>
          <w:rFonts w:cs="Calibri"/>
        </w:rPr>
        <w:t xml:space="preserve">The new historiography of the region is reviewed by Mitra Sharafi, ‘South Asian Le­gal History’ (2015) 11 </w:t>
      </w:r>
      <w:r>
        <w:rPr>
          <w:rFonts w:cs="Calibri"/>
          <w:i/>
        </w:rPr>
        <w:t>Annua</w:t>
      </w:r>
      <w:r>
        <w:rPr>
          <w:rFonts w:cs="Calibri"/>
          <w:i/>
        </w:rPr>
        <w:t>l Review of Law and Social Science</w:t>
      </w:r>
      <w:r>
        <w:rPr>
          <w:rFonts w:cs="Calibri"/>
        </w:rPr>
        <w:t xml:space="preserve"> </w:t>
      </w:r>
      <w:r>
        <w:t>309.</w:t>
      </w:r>
    </w:p>
    <w:p w:rsidR="00441B30" w:rsidRDefault="00C96797">
      <w:pPr>
        <w:numPr>
          <w:ilvl w:val="0"/>
          <w:numId w:val="2"/>
        </w:numPr>
        <w:spacing w:after="193" w:line="327" w:lineRule="auto"/>
        <w:ind w:hanging="431"/>
      </w:pPr>
      <w:r>
        <w:rPr>
          <w:rFonts w:cs="Calibri"/>
        </w:rPr>
        <w:t xml:space="preserve">See, e.g., Claire Priest, ‘Creating an American Property Law: Alienability and its Lim­its in American History’, (2006) 120 </w:t>
      </w:r>
      <w:r>
        <w:rPr>
          <w:rFonts w:cs="Calibri"/>
          <w:i/>
        </w:rPr>
        <w:t>Harvard LR</w:t>
      </w:r>
      <w:r>
        <w:rPr>
          <w:rFonts w:cs="Calibri"/>
        </w:rPr>
        <w:t xml:space="preserve"> </w:t>
      </w:r>
      <w:r>
        <w:t>385.</w:t>
      </w:r>
    </w:p>
    <w:p w:rsidR="00441B30" w:rsidRDefault="00C96797">
      <w:pPr>
        <w:numPr>
          <w:ilvl w:val="0"/>
          <w:numId w:val="2"/>
        </w:numPr>
        <w:spacing w:after="193" w:line="327" w:lineRule="auto"/>
        <w:ind w:hanging="431"/>
      </w:pPr>
      <w:r>
        <w:rPr>
          <w:rFonts w:cs="Calibri"/>
        </w:rPr>
        <w:t>Vlad Perju, ‘Constitutional Transplants, Borrowing, and Migrations’, in Mich</w:t>
      </w:r>
      <w:r>
        <w:rPr>
          <w:rFonts w:cs="Calibri"/>
        </w:rPr>
        <w:t xml:space="preserve">ael </w:t>
      </w:r>
      <w:r>
        <w:t>Rosenfeld and Andrea Sajo (eds),</w:t>
      </w:r>
      <w:r>
        <w:rPr>
          <w:rFonts w:cs="Calibri"/>
        </w:rPr>
        <w:t xml:space="preserve"> </w:t>
      </w:r>
      <w:r>
        <w:rPr>
          <w:rFonts w:cs="Calibri"/>
          <w:i/>
        </w:rPr>
        <w:t>Oxford Handbook of Comparative Constitutional Law</w:t>
      </w:r>
      <w:r>
        <w:rPr>
          <w:rFonts w:cs="Calibri"/>
          <w:sz w:val="22"/>
        </w:rPr>
        <w:t xml:space="preserve"> </w:t>
      </w:r>
      <w:r>
        <w:t>(2012), 1304 ff.</w:t>
      </w:r>
    </w:p>
    <w:p w:rsidR="00441B30" w:rsidRDefault="00C96797">
      <w:pPr>
        <w:numPr>
          <w:ilvl w:val="0"/>
          <w:numId w:val="2"/>
        </w:numPr>
        <w:spacing w:after="195" w:line="326" w:lineRule="auto"/>
        <w:ind w:hanging="431"/>
      </w:pPr>
      <w:r>
        <w:t>Ran Hirschl,</w:t>
      </w:r>
      <w:r>
        <w:rPr>
          <w:rFonts w:cs="Calibri"/>
        </w:rPr>
        <w:t xml:space="preserve"> </w:t>
      </w:r>
      <w:r>
        <w:rPr>
          <w:rFonts w:cs="Calibri"/>
          <w:i/>
        </w:rPr>
        <w:t>Comparative Matters: The Renaissance of Comparative Constitutional Law</w:t>
      </w:r>
      <w:r>
        <w:rPr>
          <w:rFonts w:cs="Calibri"/>
        </w:rPr>
        <w:t xml:space="preserve"> </w:t>
      </w:r>
      <w:r>
        <w:t>(2014), 78 ff.</w:t>
      </w:r>
    </w:p>
    <w:p w:rsidR="00441B30" w:rsidRDefault="00C96797">
      <w:pPr>
        <w:numPr>
          <w:ilvl w:val="0"/>
          <w:numId w:val="2"/>
        </w:numPr>
        <w:spacing w:after="247"/>
        <w:ind w:hanging="431"/>
      </w:pPr>
      <w:r>
        <w:lastRenderedPageBreak/>
        <w:t>Charles O. H. Parkinson,</w:t>
      </w:r>
      <w:r>
        <w:rPr>
          <w:rFonts w:cs="Calibri"/>
        </w:rPr>
        <w:t xml:space="preserve"> </w:t>
      </w:r>
      <w:r>
        <w:rPr>
          <w:rFonts w:cs="Calibri"/>
          <w:i/>
        </w:rPr>
        <w:t>Bills of Rights and Decoloni</w:t>
      </w:r>
      <w:r>
        <w:rPr>
          <w:rFonts w:cs="Calibri"/>
          <w:i/>
        </w:rPr>
        <w:t>zation</w:t>
      </w:r>
      <w:r>
        <w:rPr>
          <w:rFonts w:cs="Calibri"/>
        </w:rPr>
        <w:t xml:space="preserve"> </w:t>
      </w:r>
      <w:r>
        <w:t>(2007).</w:t>
      </w:r>
    </w:p>
    <w:p w:rsidR="00441B30" w:rsidRDefault="00C96797">
      <w:pPr>
        <w:numPr>
          <w:ilvl w:val="0"/>
          <w:numId w:val="2"/>
        </w:numPr>
        <w:spacing w:after="193" w:line="327" w:lineRule="auto"/>
        <w:ind w:hanging="431"/>
      </w:pPr>
      <w:r>
        <w:t>G. F. W. Hegel,</w:t>
      </w:r>
      <w:r>
        <w:rPr>
          <w:rFonts w:cs="Calibri"/>
        </w:rPr>
        <w:t xml:space="preserve"> </w:t>
      </w:r>
      <w:r>
        <w:rPr>
          <w:rFonts w:cs="Calibri"/>
          <w:i/>
        </w:rPr>
        <w:t>Outlines of the Philosophy of Right</w:t>
      </w:r>
      <w:r>
        <w:rPr>
          <w:rFonts w:cs="Calibri"/>
        </w:rPr>
        <w:t xml:space="preserve"> </w:t>
      </w:r>
      <w:r>
        <w:t xml:space="preserve">(transl Knox, 2008) s 274, 263 (on </w:t>
      </w:r>
      <w:r>
        <w:rPr>
          <w:rFonts w:cs="Calibri"/>
        </w:rPr>
        <w:t xml:space="preserve">Napoleon’s failed attempt to impose a constitution for Spain). Hegel follows Montesquieu </w:t>
      </w:r>
      <w:r>
        <w:t>in this respect (see below n. 103).</w:t>
      </w:r>
    </w:p>
    <w:p w:rsidR="00441B30" w:rsidRDefault="00C96797">
      <w:pPr>
        <w:numPr>
          <w:ilvl w:val="0"/>
          <w:numId w:val="2"/>
        </w:numPr>
        <w:spacing w:after="72" w:line="259" w:lineRule="auto"/>
        <w:ind w:hanging="431"/>
      </w:pPr>
      <w:r>
        <w:t>Albert H. Y. Chen (ed),</w:t>
      </w:r>
      <w:r>
        <w:rPr>
          <w:rFonts w:cs="Calibri"/>
        </w:rPr>
        <w:t xml:space="preserve"> </w:t>
      </w:r>
      <w:r>
        <w:rPr>
          <w:rFonts w:cs="Calibri"/>
          <w:i/>
        </w:rPr>
        <w:t>Constitutionalism in Asia in the Early Twenty-First Century</w:t>
      </w:r>
      <w:r>
        <w:rPr>
          <w:rFonts w:cs="Calibri"/>
          <w:sz w:val="22"/>
        </w:rPr>
        <w:t xml:space="preserve"> </w:t>
      </w:r>
    </w:p>
    <w:p w:rsidR="00441B30" w:rsidRDefault="00C96797">
      <w:pPr>
        <w:ind w:left="-5"/>
      </w:pPr>
      <w:r>
        <w:t>(2016); Bui Ngoc Son,</w:t>
      </w:r>
      <w:r>
        <w:rPr>
          <w:rFonts w:cs="Calibri"/>
        </w:rPr>
        <w:t xml:space="preserve"> </w:t>
      </w:r>
      <w:r>
        <w:rPr>
          <w:rFonts w:cs="Calibri"/>
          <w:i/>
        </w:rPr>
        <w:t>Confucian Constitutionalism in East Asia</w:t>
      </w:r>
      <w:r>
        <w:rPr>
          <w:rFonts w:cs="Calibri"/>
        </w:rPr>
        <w:t xml:space="preserve"> </w:t>
      </w:r>
      <w:r>
        <w:t>(2016); Mark Tushnet, Vicky Jackson, and Tom Ginsburg are among the names that have brought about this chang</w:t>
      </w:r>
      <w:r>
        <w:t>e in the study of constitutional law.</w:t>
      </w:r>
    </w:p>
    <w:p w:rsidR="00441B30" w:rsidRDefault="00C96797">
      <w:pPr>
        <w:numPr>
          <w:ilvl w:val="0"/>
          <w:numId w:val="2"/>
        </w:numPr>
        <w:spacing w:after="193" w:line="327" w:lineRule="auto"/>
        <w:ind w:hanging="431"/>
      </w:pPr>
      <w:r>
        <w:rPr>
          <w:rFonts w:cs="Calibri"/>
        </w:rPr>
        <w:t xml:space="preserve">David S. Law and Mila Versteeg, ‘The Evolution and Ideology of Global Constitutional­ism’, (2011) 99 </w:t>
      </w:r>
      <w:r>
        <w:rPr>
          <w:rFonts w:cs="Calibri"/>
          <w:i/>
        </w:rPr>
        <w:t>California LR</w:t>
      </w:r>
      <w:r>
        <w:rPr>
          <w:rFonts w:cs="Calibri"/>
        </w:rPr>
        <w:t xml:space="preserve"> </w:t>
      </w:r>
      <w:r>
        <w:t>1163.</w:t>
      </w:r>
    </w:p>
    <w:p w:rsidR="00441B30" w:rsidRDefault="00C96797">
      <w:pPr>
        <w:numPr>
          <w:ilvl w:val="0"/>
          <w:numId w:val="2"/>
        </w:numPr>
        <w:spacing w:after="193" w:line="327" w:lineRule="auto"/>
        <w:ind w:hanging="431"/>
      </w:pPr>
      <w:r>
        <w:rPr>
          <w:rFonts w:cs="Calibri"/>
        </w:rPr>
        <w:t>David S. Law, ‘The Myth of the Imposed Constitution’ in Denis Galligan and Mila Ver­</w:t>
      </w:r>
      <w:r>
        <w:t>steeg (eds),</w:t>
      </w:r>
      <w:r>
        <w:rPr>
          <w:rFonts w:cs="Calibri"/>
        </w:rPr>
        <w:t xml:space="preserve"> </w:t>
      </w:r>
      <w:r>
        <w:rPr>
          <w:rFonts w:cs="Calibri"/>
          <w:i/>
        </w:rPr>
        <w:t>The Social and Political Foundations of Constitutions</w:t>
      </w:r>
      <w:r>
        <w:rPr>
          <w:rFonts w:cs="Calibri"/>
        </w:rPr>
        <w:t xml:space="preserve"> (2013), 239–68.</w:t>
      </w:r>
    </w:p>
    <w:p w:rsidR="00441B30" w:rsidRDefault="00C96797">
      <w:pPr>
        <w:numPr>
          <w:ilvl w:val="0"/>
          <w:numId w:val="2"/>
        </w:numPr>
        <w:spacing w:after="193" w:line="327" w:lineRule="auto"/>
        <w:ind w:hanging="431"/>
      </w:pPr>
      <w:r>
        <w:rPr>
          <w:rFonts w:cs="Calibri"/>
        </w:rPr>
        <w:t xml:space="preserve">Frankenberg (n 10); idem, ‘Constitutional transfer: The IKEA theory revisited’, (2010) </w:t>
      </w:r>
      <w:r>
        <w:t>8</w:t>
      </w:r>
      <w:r>
        <w:rPr>
          <w:rFonts w:cs="Calibri"/>
        </w:rPr>
        <w:t xml:space="preserve"> </w:t>
      </w:r>
      <w:r>
        <w:rPr>
          <w:rFonts w:cs="Calibri"/>
          <w:i/>
        </w:rPr>
        <w:t>International Journal of Constitutional Law</w:t>
      </w:r>
      <w:r>
        <w:t>, 563, 565.</w:t>
      </w:r>
    </w:p>
    <w:p w:rsidR="00441B30" w:rsidRDefault="00C96797">
      <w:pPr>
        <w:numPr>
          <w:ilvl w:val="0"/>
          <w:numId w:val="2"/>
        </w:numPr>
        <w:spacing w:after="257"/>
        <w:ind w:hanging="431"/>
      </w:pPr>
      <w:r>
        <w:t>Ibid.</w:t>
      </w:r>
    </w:p>
    <w:p w:rsidR="00441B30" w:rsidRDefault="00C96797">
      <w:pPr>
        <w:numPr>
          <w:ilvl w:val="0"/>
          <w:numId w:val="2"/>
        </w:numPr>
        <w:spacing w:after="193" w:line="327" w:lineRule="auto"/>
        <w:ind w:hanging="431"/>
      </w:pPr>
      <w:r>
        <w:rPr>
          <w:rFonts w:cs="Calibri"/>
        </w:rPr>
        <w:t>Chen (n 45). The expression ‘constit</w:t>
      </w:r>
      <w:r>
        <w:rPr>
          <w:rFonts w:cs="Calibri"/>
        </w:rPr>
        <w:t>utions without constitutionalism’ was first used by H. W. O. Okoth-Ogend to describe the African constitutional experience after decolo</w:t>
      </w:r>
      <w:r>
        <w:t>nization.</w:t>
      </w:r>
    </w:p>
    <w:p w:rsidR="00441B30" w:rsidRDefault="00C96797">
      <w:pPr>
        <w:numPr>
          <w:ilvl w:val="0"/>
          <w:numId w:val="2"/>
        </w:numPr>
        <w:spacing w:after="244"/>
        <w:ind w:hanging="431"/>
      </w:pPr>
      <w:r>
        <w:t>Hirschl (n 42) 224 ff.</w:t>
      </w:r>
    </w:p>
    <w:p w:rsidR="00441B30" w:rsidRDefault="00C96797">
      <w:pPr>
        <w:numPr>
          <w:ilvl w:val="0"/>
          <w:numId w:val="2"/>
        </w:numPr>
        <w:spacing w:after="193" w:line="327" w:lineRule="auto"/>
        <w:ind w:hanging="431"/>
      </w:pPr>
      <w:r>
        <w:rPr>
          <w:rFonts w:cs="Calibri"/>
        </w:rPr>
        <w:t>Ruth Bader Ginsburg, ‘A Decent Respect to the Opinions of Humankind: The Value of Compar</w:t>
      </w:r>
      <w:r>
        <w:rPr>
          <w:rFonts w:cs="Calibri"/>
        </w:rPr>
        <w:t xml:space="preserve">ative Perspective in Constitutional Adjudication’, (2005) 99 </w:t>
      </w:r>
      <w:r>
        <w:rPr>
          <w:rFonts w:cs="Calibri"/>
          <w:i/>
        </w:rPr>
        <w:t>Proceedings of the American Society of International Annual Meeting</w:t>
      </w:r>
      <w:r>
        <w:rPr>
          <w:rFonts w:cs="Calibri"/>
        </w:rPr>
        <w:t xml:space="preserve"> </w:t>
      </w:r>
      <w:r>
        <w:t>351.</w:t>
      </w:r>
    </w:p>
    <w:p w:rsidR="00441B30" w:rsidRDefault="00C96797">
      <w:pPr>
        <w:numPr>
          <w:ilvl w:val="0"/>
          <w:numId w:val="2"/>
        </w:numPr>
        <w:spacing w:after="201" w:line="321" w:lineRule="auto"/>
        <w:ind w:hanging="431"/>
      </w:pPr>
      <w:r>
        <w:rPr>
          <w:rFonts w:cs="Calibri"/>
        </w:rPr>
        <w:t xml:space="preserve">Jean-Frederick Morin, and Gilbert Gagné, ‘What can Best Explain the Prevalence of Bilateralism in the Investment Regime’, (2007) 36(1) </w:t>
      </w:r>
      <w:r>
        <w:rPr>
          <w:rFonts w:cs="Calibri"/>
          <w:i/>
        </w:rPr>
        <w:t>International Journal of Political Economy</w:t>
      </w:r>
      <w:r>
        <w:rPr>
          <w:rFonts w:cs="Calibri"/>
        </w:rPr>
        <w:t xml:space="preserve"> </w:t>
      </w:r>
      <w:r>
        <w:t>53.</w:t>
      </w:r>
    </w:p>
    <w:p w:rsidR="00441B30" w:rsidRDefault="00C96797">
      <w:pPr>
        <w:numPr>
          <w:ilvl w:val="0"/>
          <w:numId w:val="2"/>
        </w:numPr>
        <w:spacing w:after="195" w:line="326" w:lineRule="auto"/>
        <w:ind w:hanging="431"/>
      </w:pPr>
      <w:r>
        <w:t>Sabino Cassese</w:t>
      </w:r>
      <w:r>
        <w:rPr>
          <w:rFonts w:cs="Calibri"/>
          <w:i/>
        </w:rPr>
        <w:t xml:space="preserve">, The Global Polity: Global Dimensions of Democracy and the </w:t>
      </w:r>
      <w:r>
        <w:rPr>
          <w:rFonts w:cs="Calibri"/>
          <w:i/>
        </w:rPr>
        <w:t>Rule of Law</w:t>
      </w:r>
      <w:r>
        <w:rPr>
          <w:rFonts w:cs="Calibri"/>
        </w:rPr>
        <w:t xml:space="preserve"> </w:t>
      </w:r>
      <w:r>
        <w:t>(2012), 15.</w:t>
      </w:r>
    </w:p>
    <w:p w:rsidR="00441B30" w:rsidRDefault="00C96797">
      <w:pPr>
        <w:numPr>
          <w:ilvl w:val="0"/>
          <w:numId w:val="2"/>
        </w:numPr>
        <w:spacing w:after="213" w:line="327" w:lineRule="auto"/>
        <w:ind w:hanging="431"/>
      </w:pPr>
      <w:r>
        <w:t>Horatia Muir Watt, Diego P. Fernández Arroyo (eds),</w:t>
      </w:r>
      <w:r>
        <w:rPr>
          <w:rFonts w:cs="Calibri"/>
        </w:rPr>
        <w:t xml:space="preserve"> </w:t>
      </w:r>
      <w:r>
        <w:rPr>
          <w:rFonts w:cs="Calibri"/>
          <w:i/>
        </w:rPr>
        <w:t>Private International Law and Global Governance</w:t>
      </w:r>
      <w:r>
        <w:rPr>
          <w:rFonts w:cs="Calibri"/>
        </w:rPr>
        <w:t xml:space="preserve"> (2014); Jodi L. Short ‘Transplanting Law in a Globalized World: Private Transnational Regulation and the Legal Transplant Paradigm’,</w:t>
      </w:r>
      <w:r>
        <w:rPr>
          <w:rFonts w:cs="Calibri"/>
        </w:rPr>
        <w:t xml:space="preserve"> in Francesca Bignami </w:t>
      </w:r>
      <w:r>
        <w:t>(ed),</w:t>
      </w:r>
      <w:r>
        <w:rPr>
          <w:rFonts w:cs="Calibri"/>
        </w:rPr>
        <w:t xml:space="preserve"> </w:t>
      </w:r>
      <w:r>
        <w:rPr>
          <w:rFonts w:cs="Calibri"/>
          <w:i/>
        </w:rPr>
        <w:t>Comparative Law and Regulation: Understanding the Global Regulatory Process</w:t>
      </w:r>
      <w:r>
        <w:rPr>
          <w:rFonts w:cs="Calibri"/>
          <w:sz w:val="22"/>
        </w:rPr>
        <w:t xml:space="preserve"> </w:t>
      </w:r>
      <w:r>
        <w:t>(2016), 430 ff.</w:t>
      </w:r>
    </w:p>
    <w:p w:rsidR="00441B30" w:rsidRDefault="00C96797">
      <w:pPr>
        <w:numPr>
          <w:ilvl w:val="0"/>
          <w:numId w:val="2"/>
        </w:numPr>
        <w:spacing w:after="195" w:line="326" w:lineRule="auto"/>
        <w:ind w:hanging="431"/>
      </w:pPr>
      <w:r>
        <w:t>Gianluca Sgueo,</w:t>
      </w:r>
      <w:r>
        <w:rPr>
          <w:rFonts w:cs="Calibri"/>
        </w:rPr>
        <w:t xml:space="preserve"> </w:t>
      </w:r>
      <w:r>
        <w:rPr>
          <w:rFonts w:cs="Calibri"/>
          <w:i/>
        </w:rPr>
        <w:t>Beyond Networks-Interlocutory Coalitions, the European and Global Legal Orders</w:t>
      </w:r>
      <w:r>
        <w:rPr>
          <w:rFonts w:cs="Calibri"/>
        </w:rPr>
        <w:t xml:space="preserve"> </w:t>
      </w:r>
      <w:r>
        <w:t>(2016).</w:t>
      </w:r>
    </w:p>
    <w:p w:rsidR="00441B30" w:rsidRDefault="00C96797">
      <w:pPr>
        <w:numPr>
          <w:ilvl w:val="0"/>
          <w:numId w:val="2"/>
        </w:numPr>
        <w:spacing w:after="193" w:line="327" w:lineRule="auto"/>
        <w:ind w:hanging="431"/>
      </w:pPr>
      <w:r>
        <w:t>Kevin Davis et al (eds),</w:t>
      </w:r>
      <w:r>
        <w:rPr>
          <w:rFonts w:cs="Calibri"/>
        </w:rPr>
        <w:t xml:space="preserve"> Governan</w:t>
      </w:r>
      <w:r>
        <w:rPr>
          <w:rFonts w:cs="Calibri"/>
        </w:rPr>
        <w:t>ce by Indicators: Global Power through Quantifica</w:t>
      </w:r>
      <w:r>
        <w:rPr>
          <w:rFonts w:cs="Calibri"/>
          <w:i/>
        </w:rPr>
        <w:t>tion and Rankings</w:t>
      </w:r>
      <w:r>
        <w:rPr>
          <w:rFonts w:cs="Calibri"/>
        </w:rPr>
        <w:t xml:space="preserve"> </w:t>
      </w:r>
      <w:r>
        <w:t xml:space="preserve">(2015). This seemigly neutral technique raises formidable problems </w:t>
      </w:r>
      <w:r>
        <w:rPr>
          <w:rFonts w:cs="Calibri"/>
        </w:rPr>
        <w:t>when considered from angle of the translation problems it raises; see n 60. On the democratic deficit of these and other g</w:t>
      </w:r>
      <w:r>
        <w:rPr>
          <w:rFonts w:cs="Calibri"/>
        </w:rPr>
        <w:t xml:space="preserve">lobal governance mechanisms and institutions: Ugo Mattei, ‘A Theory of Imperial Law: a Study on US Hegemony and the Latin Resistance’ (2003) </w:t>
      </w:r>
      <w:r>
        <w:t>10</w:t>
      </w:r>
      <w:r>
        <w:rPr>
          <w:rFonts w:cs="Calibri"/>
        </w:rPr>
        <w:t xml:space="preserve"> </w:t>
      </w:r>
      <w:r>
        <w:rPr>
          <w:rFonts w:cs="Calibri"/>
          <w:i/>
        </w:rPr>
        <w:t>Indiana Journal of Legal Global Studies</w:t>
      </w:r>
      <w:r>
        <w:rPr>
          <w:rFonts w:cs="Calibri"/>
        </w:rPr>
        <w:t xml:space="preserve"> </w:t>
      </w:r>
      <w:r>
        <w:t>1, 383.</w:t>
      </w:r>
    </w:p>
    <w:p w:rsidR="00441B30" w:rsidRDefault="00C96797">
      <w:pPr>
        <w:numPr>
          <w:ilvl w:val="0"/>
          <w:numId w:val="2"/>
        </w:numPr>
        <w:spacing w:after="193" w:line="327" w:lineRule="auto"/>
        <w:ind w:hanging="431"/>
      </w:pPr>
      <w:r>
        <w:rPr>
          <w:rFonts w:cs="Calibri"/>
        </w:rPr>
        <w:lastRenderedPageBreak/>
        <w:t>Susan Šarčević, ‘Basic Principles of Term Formation in the Multi</w:t>
      </w:r>
      <w:r>
        <w:rPr>
          <w:rFonts w:cs="Calibri"/>
        </w:rPr>
        <w:t xml:space="preserve">lingual and Multicul­tural. Context of EU Law’ in </w:t>
      </w:r>
      <w:r>
        <w:rPr>
          <w:rFonts w:cs="Calibri"/>
          <w:i/>
        </w:rPr>
        <w:t>eadem</w:t>
      </w:r>
      <w:r>
        <w:rPr>
          <w:rFonts w:cs="Calibri"/>
        </w:rPr>
        <w:t xml:space="preserve"> </w:t>
      </w:r>
      <w:r>
        <w:t>(ed),</w:t>
      </w:r>
      <w:r>
        <w:rPr>
          <w:rFonts w:cs="Calibri"/>
        </w:rPr>
        <w:t xml:space="preserve"> Language and Culture in EU Law Multidiscipli</w:t>
      </w:r>
      <w:r>
        <w:rPr>
          <w:rFonts w:cs="Calibri"/>
          <w:i/>
        </w:rPr>
        <w:t>nary Perspectives</w:t>
      </w:r>
      <w:r>
        <w:rPr>
          <w:rFonts w:cs="Calibri"/>
        </w:rPr>
        <w:t xml:space="preserve"> </w:t>
      </w:r>
      <w:r>
        <w:t>(2015), 183 ff.</w:t>
      </w:r>
    </w:p>
    <w:p w:rsidR="00441B30" w:rsidRDefault="00C96797">
      <w:pPr>
        <w:numPr>
          <w:ilvl w:val="0"/>
          <w:numId w:val="2"/>
        </w:numPr>
        <w:spacing w:after="193" w:line="327" w:lineRule="auto"/>
        <w:ind w:hanging="431"/>
      </w:pPr>
      <w:r>
        <w:rPr>
          <w:rFonts w:cs="Calibri"/>
        </w:rPr>
        <w:t xml:space="preserve">Tadashi Aruga, ‘The Declaration of Independence in Japan: Translation and Trans­plantation, 1854–1997’, (1999) 85 </w:t>
      </w:r>
      <w:r>
        <w:rPr>
          <w:rFonts w:cs="Calibri"/>
          <w:i/>
        </w:rPr>
        <w:t>Th</w:t>
      </w:r>
      <w:r>
        <w:rPr>
          <w:rFonts w:cs="Calibri"/>
          <w:i/>
        </w:rPr>
        <w:t>e Journal of American History</w:t>
      </w:r>
      <w:r>
        <w:rPr>
          <w:rFonts w:cs="Calibri"/>
        </w:rPr>
        <w:t xml:space="preserve"> 1409; Frank Li, ‘East </w:t>
      </w:r>
      <w:r>
        <w:t xml:space="preserve">is East and West is West: Did the Twain Ever Meet? The Declaration of Independence in </w:t>
      </w:r>
      <w:r>
        <w:rPr>
          <w:rFonts w:cs="Calibri"/>
        </w:rPr>
        <w:t xml:space="preserve">China’, ibid., 1432. The entire volume of this </w:t>
      </w:r>
      <w:r>
        <w:rPr>
          <w:rFonts w:cs="Calibri"/>
          <w:i/>
        </w:rPr>
        <w:t>Journal</w:t>
      </w:r>
      <w:r>
        <w:rPr>
          <w:rFonts w:cs="Calibri"/>
        </w:rPr>
        <w:t xml:space="preserve"> is on the translation of the US Decla</w:t>
      </w:r>
      <w:r>
        <w:t xml:space="preserve">ration of Independence in </w:t>
      </w:r>
      <w:r>
        <w:t>various languages.</w:t>
      </w:r>
    </w:p>
    <w:p w:rsidR="00441B30" w:rsidRDefault="00C96797">
      <w:pPr>
        <w:numPr>
          <w:ilvl w:val="0"/>
          <w:numId w:val="2"/>
        </w:numPr>
        <w:spacing w:after="193" w:line="327" w:lineRule="auto"/>
        <w:ind w:hanging="431"/>
      </w:pPr>
      <w:r>
        <w:rPr>
          <w:rFonts w:cs="Calibri"/>
        </w:rPr>
        <w:t xml:space="preserve">Sally Merry Engle, et al. ‘Quantification and the paradox of measurement: Translat­ing children’s rights in Tanzania’ (2015) 56 </w:t>
      </w:r>
      <w:r>
        <w:rPr>
          <w:rFonts w:cs="Calibri"/>
          <w:i/>
        </w:rPr>
        <w:t>Current Anthropology</w:t>
      </w:r>
      <w:r>
        <w:rPr>
          <w:rFonts w:cs="Calibri"/>
        </w:rPr>
        <w:t xml:space="preserve"> </w:t>
      </w:r>
      <w:r>
        <w:t>217;</w:t>
      </w:r>
      <w:r>
        <w:rPr>
          <w:rFonts w:cs="Calibri"/>
        </w:rPr>
        <w:t xml:space="preserve"> </w:t>
      </w:r>
      <w:r>
        <w:rPr>
          <w:rFonts w:cs="Calibri"/>
          <w:i/>
        </w:rPr>
        <w:t>eadem,</w:t>
      </w:r>
      <w:r>
        <w:rPr>
          <w:rFonts w:cs="Calibri"/>
        </w:rPr>
        <w:t xml:space="preserve"> ‘Legal Transplants and Cultural Translation: Making Human Rights in the Vern</w:t>
      </w:r>
      <w:r>
        <w:rPr>
          <w:rFonts w:cs="Calibri"/>
        </w:rPr>
        <w:t xml:space="preserve">acular’, in </w:t>
      </w:r>
      <w:r>
        <w:rPr>
          <w:rFonts w:cs="Calibri"/>
          <w:i/>
        </w:rPr>
        <w:t>Human Rights and Gender Violence</w:t>
      </w:r>
      <w:r>
        <w:rPr>
          <w:rFonts w:cs="Calibri"/>
        </w:rPr>
        <w:t xml:space="preserve"> </w:t>
      </w:r>
      <w:r>
        <w:t>(2006), Ch 5, 134 ff.</w:t>
      </w:r>
    </w:p>
    <w:p w:rsidR="00441B30" w:rsidRDefault="00C96797">
      <w:pPr>
        <w:numPr>
          <w:ilvl w:val="0"/>
          <w:numId w:val="2"/>
        </w:numPr>
        <w:ind w:hanging="431"/>
      </w:pPr>
      <w:r>
        <w:t>See, e.g., Douglas Howland,</w:t>
      </w:r>
      <w:r>
        <w:rPr>
          <w:rFonts w:cs="Calibri"/>
        </w:rPr>
        <w:t xml:space="preserve"> </w:t>
      </w:r>
      <w:r>
        <w:rPr>
          <w:rFonts w:cs="Calibri"/>
          <w:i/>
        </w:rPr>
        <w:t>Translating the West: Language and Political Reason in Nineteenth-Century Japan</w:t>
      </w:r>
      <w:r>
        <w:rPr>
          <w:rFonts w:cs="Calibri"/>
        </w:rPr>
        <w:t xml:space="preserve"> </w:t>
      </w:r>
      <w:r>
        <w:t>(2002).</w:t>
      </w:r>
      <w:r>
        <w:rPr>
          <w:rFonts w:cs="Calibri"/>
        </w:rPr>
        <w:t xml:space="preserve"> Rechtsgeschichte—Legal History 24 (2016) is dedicat</w:t>
      </w:r>
      <w:r>
        <w:t xml:space="preserve">ed to the work of translators as mediators of legal transfers, with contributions by Lena </w:t>
      </w:r>
      <w:r>
        <w:rPr>
          <w:rFonts w:cs="Calibri"/>
        </w:rPr>
        <w:t>Foljanty, José Luis Egío, Osvaldo Rodolfo Moutin, Laura Beck Varela, and Mahmood Koo</w:t>
      </w:r>
      <w:r>
        <w:t>ria.</w:t>
      </w:r>
    </w:p>
    <w:p w:rsidR="00441B30" w:rsidRDefault="00C96797">
      <w:pPr>
        <w:numPr>
          <w:ilvl w:val="0"/>
          <w:numId w:val="2"/>
        </w:numPr>
        <w:spacing w:after="193" w:line="327" w:lineRule="auto"/>
        <w:ind w:hanging="431"/>
      </w:pPr>
      <w:r>
        <w:rPr>
          <w:rFonts w:cs="Calibri"/>
        </w:rPr>
        <w:t>Pierre Legand, ‘What “Legal Transplants”?’, in David Nelken and Joachim Feest</w:t>
      </w:r>
      <w:r>
        <w:rPr>
          <w:rFonts w:cs="Calibri"/>
        </w:rPr>
        <w:t xml:space="preserve"> (eds), </w:t>
      </w:r>
      <w:r>
        <w:rPr>
          <w:rFonts w:cs="Calibri"/>
          <w:i/>
        </w:rPr>
        <w:t>Adapting Legal Cultures</w:t>
      </w:r>
      <w:r>
        <w:rPr>
          <w:rFonts w:cs="Calibri"/>
        </w:rPr>
        <w:t xml:space="preserve"> </w:t>
      </w:r>
      <w:r>
        <w:t>(2001), 59.</w:t>
      </w:r>
    </w:p>
    <w:p w:rsidR="00441B30" w:rsidRDefault="00C96797">
      <w:pPr>
        <w:numPr>
          <w:ilvl w:val="0"/>
          <w:numId w:val="2"/>
        </w:numPr>
        <w:ind w:hanging="431"/>
      </w:pPr>
      <w:r>
        <w:rPr>
          <w:rFonts w:cs="Calibri"/>
        </w:rPr>
        <w:t xml:space="preserve">King Kui Sin, ’Out of the fly-bottle: conceptual confusions in multilingual legisla­tion’ (2013) 26 </w:t>
      </w:r>
      <w:r>
        <w:rPr>
          <w:rFonts w:cs="Calibri"/>
          <w:i/>
        </w:rPr>
        <w:t>International Journal for the Semiotics of Law</w:t>
      </w:r>
      <w:r>
        <w:rPr>
          <w:rFonts w:cs="Calibri"/>
        </w:rPr>
        <w:t xml:space="preserve"> </w:t>
      </w:r>
      <w:r>
        <w:rPr>
          <w:rFonts w:cs="Calibri"/>
        </w:rPr>
        <w:t xml:space="preserve">927; Kwai Hang Ng, ‘Legal translation and the problem of Heteroglossia’, in Simone Glanaert (ed), </w:t>
      </w:r>
      <w:r>
        <w:rPr>
          <w:rFonts w:cs="Calibri"/>
          <w:i/>
        </w:rPr>
        <w:t>Comparative Law</w:t>
      </w:r>
      <w:r>
        <w:rPr>
          <w:rFonts w:cs="Calibri"/>
          <w:sz w:val="22"/>
        </w:rPr>
        <w:t xml:space="preserve"> </w:t>
      </w:r>
      <w:r>
        <w:rPr>
          <w:rFonts w:cs="Calibri"/>
        </w:rPr>
        <w:t xml:space="preserve">—Engaging Translation </w:t>
      </w:r>
      <w:r>
        <w:t>(2014) 49 ff; see also the brilliant contribution by Kitamura on Japanese law (n 100). Readers are referred to Chapter</w:t>
      </w:r>
      <w:hyperlink r:id="rId20">
        <w:r>
          <w:rPr>
            <w:rFonts w:cs="Calibri"/>
          </w:rPr>
          <w:t xml:space="preserve"> </w:t>
        </w:r>
      </w:hyperlink>
      <w:hyperlink r:id="rId21">
        <w:r>
          <w:t>24</w:t>
        </w:r>
      </w:hyperlink>
      <w:r>
        <w:rPr>
          <w:rFonts w:cs="Calibri"/>
        </w:rPr>
        <w:t xml:space="preserve"> </w:t>
      </w:r>
      <w:r>
        <w:t>on law</w:t>
      </w:r>
      <w:r>
        <w:t xml:space="preserve"> and language by Vivian Grosswald Curren in this</w:t>
      </w:r>
      <w:r>
        <w:rPr>
          <w:rFonts w:cs="Calibri"/>
        </w:rPr>
        <w:t xml:space="preserve"> </w:t>
      </w:r>
      <w:r>
        <w:rPr>
          <w:rFonts w:cs="Calibri"/>
          <w:i/>
        </w:rPr>
        <w:t>Handbook</w:t>
      </w:r>
      <w:r>
        <w:rPr>
          <w:rFonts w:cs="Calibri"/>
        </w:rPr>
        <w:t xml:space="preserve"> </w:t>
      </w:r>
      <w:r>
        <w:t>for further penetrating reflections on the topic.</w:t>
      </w:r>
    </w:p>
    <w:p w:rsidR="00441B30" w:rsidRDefault="00C96797">
      <w:pPr>
        <w:numPr>
          <w:ilvl w:val="0"/>
          <w:numId w:val="2"/>
        </w:numPr>
        <w:spacing w:after="193" w:line="327" w:lineRule="auto"/>
        <w:ind w:hanging="431"/>
      </w:pPr>
      <w:r>
        <w:rPr>
          <w:rFonts w:cs="Calibri"/>
        </w:rPr>
        <w:t xml:space="preserve">Ralf Michaels, ‘One Size Can Fit All—On the Mass Production of Legal Transplants’, </w:t>
      </w:r>
      <w:r>
        <w:t>in Frankenberg (n 10).</w:t>
      </w:r>
    </w:p>
    <w:p w:rsidR="00441B30" w:rsidRDefault="00C96797">
      <w:pPr>
        <w:numPr>
          <w:ilvl w:val="0"/>
          <w:numId w:val="2"/>
        </w:numPr>
        <w:spacing w:after="193" w:line="327" w:lineRule="auto"/>
        <w:ind w:hanging="431"/>
      </w:pPr>
      <w:r>
        <w:rPr>
          <w:rFonts w:cs="Calibri"/>
        </w:rPr>
        <w:t xml:space="preserve">Michele Graziadei, ‘Legal Transplants and </w:t>
      </w:r>
      <w:r>
        <w:rPr>
          <w:rFonts w:cs="Calibri"/>
        </w:rPr>
        <w:t xml:space="preserve">the Frontiers of Legal Knowledge’ (2009) </w:t>
      </w:r>
      <w:r>
        <w:t>10</w:t>
      </w:r>
      <w:r>
        <w:rPr>
          <w:rFonts w:cs="Calibri"/>
        </w:rPr>
        <w:t xml:space="preserve"> </w:t>
      </w:r>
      <w:r>
        <w:rPr>
          <w:rFonts w:cs="Calibri"/>
          <w:i/>
        </w:rPr>
        <w:t>Theoretical Inquiries in Law</w:t>
      </w:r>
      <w:r>
        <w:rPr>
          <w:rFonts w:cs="Calibri"/>
        </w:rPr>
        <w:t xml:space="preserve"> </w:t>
      </w:r>
      <w:r>
        <w:t>723.</w:t>
      </w:r>
    </w:p>
    <w:p w:rsidR="00441B30" w:rsidRDefault="00C96797">
      <w:pPr>
        <w:numPr>
          <w:ilvl w:val="0"/>
          <w:numId w:val="2"/>
        </w:numPr>
        <w:spacing w:after="201" w:line="321" w:lineRule="auto"/>
        <w:ind w:hanging="431"/>
      </w:pPr>
      <w:r>
        <w:t>Thus the laws of the first English colonies in America were initially the laws practised in the English villages and towns that the settlers had left: David Grayson Allen,</w:t>
      </w:r>
      <w:r>
        <w:rPr>
          <w:rFonts w:cs="Calibri"/>
        </w:rPr>
        <w:t xml:space="preserve"> In Eng</w:t>
      </w:r>
      <w:r>
        <w:rPr>
          <w:rFonts w:cs="Calibri"/>
          <w:i/>
        </w:rPr>
        <w:t>lish Ways: The Movement of Societies and the Transfer of English Local Law and Custom to the Massachusetts Bay in the Seventeenth Century</w:t>
      </w:r>
      <w:r>
        <w:rPr>
          <w:rFonts w:cs="Calibri"/>
        </w:rPr>
        <w:t xml:space="preserve"> (1981). Muslim immigrants’ bring with them the application of their respective family laws: Pascale Fournier, ‘Transit</w:t>
      </w:r>
      <w:r>
        <w:rPr>
          <w:rFonts w:cs="Calibri"/>
        </w:rPr>
        <w:t xml:space="preserve"> and Translation: Islamic Legal Transplants in North America and Western Europe’ (2009) 4 </w:t>
      </w:r>
      <w:r>
        <w:rPr>
          <w:rFonts w:cs="Calibri"/>
          <w:i/>
        </w:rPr>
        <w:t>The Journal of Comparative Law</w:t>
      </w:r>
      <w:r>
        <w:rPr>
          <w:rFonts w:cs="Calibri"/>
        </w:rPr>
        <w:t xml:space="preserve"> </w:t>
      </w:r>
      <w:r>
        <w:t>1; Elisa Giunchi (ed),</w:t>
      </w:r>
      <w:r>
        <w:rPr>
          <w:rFonts w:cs="Calibri"/>
        </w:rPr>
        <w:t xml:space="preserve"> </w:t>
      </w:r>
      <w:r>
        <w:rPr>
          <w:rFonts w:cs="Calibri"/>
          <w:i/>
        </w:rPr>
        <w:t>Muslim Family Law in Western Courts</w:t>
      </w:r>
      <w:r>
        <w:rPr>
          <w:rFonts w:cs="Calibri"/>
        </w:rPr>
        <w:t xml:space="preserve"> </w:t>
      </w:r>
      <w:r>
        <w:t>(2014).</w:t>
      </w:r>
    </w:p>
    <w:p w:rsidR="00441B30" w:rsidRDefault="00C96797">
      <w:pPr>
        <w:numPr>
          <w:ilvl w:val="0"/>
          <w:numId w:val="2"/>
        </w:numPr>
        <w:spacing w:after="193" w:line="327" w:lineRule="auto"/>
        <w:ind w:hanging="431"/>
      </w:pPr>
      <w:r>
        <w:rPr>
          <w:rFonts w:cs="Calibri"/>
        </w:rPr>
        <w:t>cf John C. Reitz, ‘Export of the Rule of Law’, (2003) 13 Transnation</w:t>
      </w:r>
      <w:r>
        <w:rPr>
          <w:rFonts w:cs="Calibri"/>
        </w:rPr>
        <w:t>al Law and Con</w:t>
      </w:r>
      <w:r>
        <w:rPr>
          <w:rFonts w:cs="Calibri"/>
          <w:i/>
        </w:rPr>
        <w:t>temporary Problems</w:t>
      </w:r>
      <w:r>
        <w:rPr>
          <w:rFonts w:cs="Calibri"/>
        </w:rPr>
        <w:t xml:space="preserve"> </w:t>
      </w:r>
      <w:r>
        <w:t>429.</w:t>
      </w:r>
    </w:p>
    <w:p w:rsidR="00441B30" w:rsidRDefault="00C96797">
      <w:pPr>
        <w:numPr>
          <w:ilvl w:val="0"/>
          <w:numId w:val="2"/>
        </w:numPr>
        <w:spacing w:after="193" w:line="327" w:lineRule="auto"/>
        <w:ind w:hanging="431"/>
      </w:pPr>
      <w:r>
        <w:rPr>
          <w:rFonts w:cs="Calibri"/>
        </w:rPr>
        <w:t xml:space="preserve">cf Jan Smits, ‘European Private Law as a Mixed Legal System: Towards a Ius Com­mune through the Free Movement of Legal Rules’, (2013) </w:t>
      </w:r>
      <w:r>
        <w:rPr>
          <w:rFonts w:cs="Calibri"/>
          <w:i/>
        </w:rPr>
        <w:t>(1998) 5 Maastricht Journal of European and Comparative Law</w:t>
      </w:r>
      <w:r>
        <w:rPr>
          <w:rFonts w:cs="Calibri"/>
        </w:rPr>
        <w:t xml:space="preserve"> 328; T. T Arvind, ‘The “</w:t>
      </w:r>
      <w:r>
        <w:rPr>
          <w:rFonts w:cs="Calibri"/>
        </w:rPr>
        <w:t xml:space="preserve">Transplant Effect’ ” in Harmonization’ (2010) 59 </w:t>
      </w:r>
      <w:r>
        <w:rPr>
          <w:rFonts w:cs="Calibri"/>
          <w:i/>
        </w:rPr>
        <w:t>ICLQ</w:t>
      </w:r>
      <w:r>
        <w:rPr>
          <w:rFonts w:cs="Calibri"/>
        </w:rPr>
        <w:t xml:space="preserve"> 65–88. See further the chapters of Francis Jacobs and Reinhard Zim</w:t>
      </w:r>
      <w:r>
        <w:t>mermann in this book.</w:t>
      </w:r>
    </w:p>
    <w:p w:rsidR="00441B30" w:rsidRDefault="00C96797">
      <w:pPr>
        <w:numPr>
          <w:ilvl w:val="0"/>
          <w:numId w:val="2"/>
        </w:numPr>
        <w:ind w:hanging="431"/>
      </w:pPr>
      <w:r>
        <w:lastRenderedPageBreak/>
        <w:t>See M. B. Hooker,</w:t>
      </w:r>
      <w:r>
        <w:rPr>
          <w:rFonts w:cs="Calibri"/>
        </w:rPr>
        <w:t xml:space="preserve"> </w:t>
      </w:r>
      <w:r>
        <w:rPr>
          <w:rFonts w:cs="Calibri"/>
          <w:i/>
        </w:rPr>
        <w:t>Legal Pluralism: An Introduction to Colonial and Neo-Colonial Laws</w:t>
      </w:r>
      <w:r>
        <w:rPr>
          <w:rFonts w:cs="Calibri"/>
        </w:rPr>
        <w:t xml:space="preserve"> </w:t>
      </w:r>
      <w:r>
        <w:t xml:space="preserve">(1975) (reviewing the impact </w:t>
      </w:r>
      <w:r>
        <w:t>of British, French, and Dutch colonial laws in various areas of the world).</w:t>
      </w:r>
    </w:p>
    <w:p w:rsidR="00441B30" w:rsidRDefault="00C96797">
      <w:pPr>
        <w:numPr>
          <w:ilvl w:val="0"/>
          <w:numId w:val="2"/>
        </w:numPr>
        <w:spacing w:after="193" w:line="327" w:lineRule="auto"/>
        <w:ind w:hanging="431"/>
      </w:pPr>
      <w:r>
        <w:rPr>
          <w:rFonts w:cs="Calibri"/>
        </w:rPr>
        <w:t xml:space="preserve">Upendra Baxi, ‘The Colonialist Heritage’, in Legrand and Munday (eds) (n 34), 46 ff, </w:t>
      </w:r>
      <w:r>
        <w:t>48 ff; Laureen Benton (ed),</w:t>
      </w:r>
      <w:r>
        <w:rPr>
          <w:rFonts w:cs="Calibri"/>
        </w:rPr>
        <w:t xml:space="preserve"> </w:t>
      </w:r>
      <w:r>
        <w:rPr>
          <w:rFonts w:cs="Calibri"/>
          <w:i/>
        </w:rPr>
        <w:t>Law and Colonial Cultures</w:t>
      </w:r>
      <w:r>
        <w:rPr>
          <w:rFonts w:cs="Calibri"/>
        </w:rPr>
        <w:t xml:space="preserve"> </w:t>
      </w:r>
      <w:r>
        <w:t>(2002).</w:t>
      </w:r>
    </w:p>
    <w:p w:rsidR="00441B30" w:rsidRDefault="00C96797">
      <w:pPr>
        <w:numPr>
          <w:ilvl w:val="0"/>
          <w:numId w:val="2"/>
        </w:numPr>
        <w:spacing w:after="193" w:line="327" w:lineRule="auto"/>
        <w:ind w:hanging="431"/>
      </w:pPr>
      <w:r>
        <w:rPr>
          <w:rFonts w:cs="Calibri"/>
        </w:rPr>
        <w:t>See, e.g., Bartolomé Clavero, ‘Mi</w:t>
      </w:r>
      <w:r>
        <w:rPr>
          <w:rFonts w:cs="Calibri"/>
        </w:rPr>
        <w:t>nority-Making: Indigenous People and Non-Indige­nous Law between Mexico and the United States (1785–2003)’, in [2003] Quaderni fioren</w:t>
      </w:r>
      <w:r>
        <w:rPr>
          <w:rFonts w:cs="Calibri"/>
          <w:i/>
        </w:rPr>
        <w:t>tini per la storia del pensiero giuridico</w:t>
      </w:r>
      <w:r>
        <w:rPr>
          <w:rFonts w:cs="Calibri"/>
        </w:rPr>
        <w:t xml:space="preserve"> </w:t>
      </w:r>
      <w:r>
        <w:t>175.</w:t>
      </w:r>
    </w:p>
    <w:p w:rsidR="00441B30" w:rsidRDefault="00C96797">
      <w:pPr>
        <w:numPr>
          <w:ilvl w:val="0"/>
          <w:numId w:val="2"/>
        </w:numPr>
        <w:spacing w:after="84" w:line="259" w:lineRule="auto"/>
        <w:ind w:hanging="431"/>
      </w:pPr>
      <w:r>
        <w:rPr>
          <w:rFonts w:cs="Calibri"/>
        </w:rPr>
        <w:t xml:space="preserve">On this theme, Sally Falk Moore, ‘Certainties Undone: Fifty Turbulent Years </w:t>
      </w:r>
      <w:r>
        <w:rPr>
          <w:rFonts w:cs="Calibri"/>
        </w:rPr>
        <w:t xml:space="preserve">of Legal </w:t>
      </w:r>
    </w:p>
    <w:p w:rsidR="00441B30" w:rsidRDefault="00C96797">
      <w:pPr>
        <w:spacing w:after="193" w:line="327" w:lineRule="auto"/>
        <w:ind w:left="-5"/>
      </w:pPr>
      <w:r>
        <w:rPr>
          <w:rFonts w:cs="Calibri"/>
        </w:rPr>
        <w:t xml:space="preserve">Anthropology, 1949–1999’, (2001) 7 </w:t>
      </w:r>
      <w:r>
        <w:rPr>
          <w:rFonts w:cs="Calibri"/>
          <w:i/>
        </w:rPr>
        <w:t>The Journal of the Royal Anthropological Institute</w:t>
      </w:r>
      <w:r>
        <w:rPr>
          <w:rFonts w:cs="Calibri"/>
        </w:rPr>
        <w:t xml:space="preserve"> </w:t>
      </w:r>
      <w:r>
        <w:t xml:space="preserve">95, </w:t>
      </w:r>
      <w:r>
        <w:rPr>
          <w:rFonts w:cs="Calibri"/>
        </w:rPr>
        <w:t>104–5 (referring the reader to the works of Richard Abel, Laura Nader, and Sally E. Merry); Jean Malaurie, ‘Droit et logique coloniale’, in Doucet and Vande</w:t>
      </w:r>
      <w:r>
        <w:rPr>
          <w:rFonts w:cs="Calibri"/>
        </w:rPr>
        <w:t>rlinden (n 338), 449 ff; Bernard Grossfeld, ‘Comparatists and Languages’, in Legrand and Munday (n 34), 154 ff, 168–9.</w:t>
      </w:r>
    </w:p>
    <w:p w:rsidR="00441B30" w:rsidRDefault="00C96797">
      <w:pPr>
        <w:numPr>
          <w:ilvl w:val="0"/>
          <w:numId w:val="2"/>
        </w:numPr>
        <w:spacing w:after="193" w:line="327" w:lineRule="auto"/>
        <w:ind w:hanging="431"/>
      </w:pPr>
      <w:r>
        <w:rPr>
          <w:rFonts w:cs="Calibri"/>
        </w:rPr>
        <w:t xml:space="preserve">Martin Cai Lockert, ‘Transplanting and Customizing Legal Systems: Lessons from Namibian Legal History’, (2014) 13 </w:t>
      </w:r>
      <w:r>
        <w:rPr>
          <w:rFonts w:cs="Calibri"/>
          <w:i/>
        </w:rPr>
        <w:t>Richmond Journal of Glo</w:t>
      </w:r>
      <w:r>
        <w:rPr>
          <w:rFonts w:cs="Calibri"/>
          <w:i/>
        </w:rPr>
        <w:t>bal Law and Business</w:t>
      </w:r>
      <w:r>
        <w:rPr>
          <w:rFonts w:cs="Calibri"/>
        </w:rPr>
        <w:t xml:space="preserve"> </w:t>
      </w:r>
      <w:r>
        <w:t>173, 216.</w:t>
      </w:r>
    </w:p>
    <w:p w:rsidR="00441B30" w:rsidRDefault="00C96797">
      <w:pPr>
        <w:numPr>
          <w:ilvl w:val="0"/>
          <w:numId w:val="2"/>
        </w:numPr>
        <w:spacing w:after="251"/>
        <w:ind w:hanging="431"/>
      </w:pPr>
      <w:r>
        <w:t>Baxi (n 70).</w:t>
      </w:r>
    </w:p>
    <w:p w:rsidR="00441B30" w:rsidRDefault="00C96797">
      <w:pPr>
        <w:numPr>
          <w:ilvl w:val="0"/>
          <w:numId w:val="2"/>
        </w:numPr>
        <w:spacing w:after="43"/>
        <w:ind w:hanging="431"/>
      </w:pPr>
      <w:r>
        <w:t>Jack Beatson and Reinhard Zimmermann (eds),</w:t>
      </w:r>
      <w:r>
        <w:rPr>
          <w:rFonts w:cs="Calibri"/>
        </w:rPr>
        <w:t xml:space="preserve"> </w:t>
      </w:r>
      <w:r>
        <w:rPr>
          <w:rFonts w:cs="Calibri"/>
          <w:i/>
        </w:rPr>
        <w:t xml:space="preserve">Jurists Uprooted: German-Speaking </w:t>
      </w:r>
    </w:p>
    <w:p w:rsidR="00441B30" w:rsidRDefault="00C96797">
      <w:pPr>
        <w:spacing w:after="207" w:line="323" w:lineRule="auto"/>
        <w:ind w:left="0" w:firstLine="0"/>
        <w:jc w:val="both"/>
      </w:pPr>
      <w:r>
        <w:rPr>
          <w:rFonts w:cs="Calibri"/>
          <w:i/>
        </w:rPr>
        <w:t>Émigré Lawyers in Twentieth-Century Britain</w:t>
      </w:r>
      <w:r>
        <w:rPr>
          <w:rFonts w:cs="Calibri"/>
        </w:rPr>
        <w:t xml:space="preserve"> </w:t>
      </w:r>
      <w:r>
        <w:t>(2004). Marcus Lutter, Ernst C. Stiefel, and Michael H. Hoeflich (eds),</w:t>
      </w:r>
      <w:r>
        <w:rPr>
          <w:rFonts w:cs="Calibri"/>
        </w:rPr>
        <w:t xml:space="preserve"> </w:t>
      </w:r>
      <w:r>
        <w:rPr>
          <w:rFonts w:cs="Calibri"/>
          <w:i/>
        </w:rPr>
        <w:t>Der Einfluss deutscher Emigranten auf die Rechtsentwicklung in den USA und in Deutschland</w:t>
      </w:r>
      <w:r>
        <w:rPr>
          <w:rFonts w:cs="Calibri"/>
        </w:rPr>
        <w:t xml:space="preserve"> </w:t>
      </w:r>
      <w:r>
        <w:t>(1993).</w:t>
      </w:r>
    </w:p>
    <w:p w:rsidR="00441B30" w:rsidRDefault="00C96797">
      <w:pPr>
        <w:numPr>
          <w:ilvl w:val="0"/>
          <w:numId w:val="2"/>
        </w:numPr>
        <w:ind w:hanging="431"/>
      </w:pPr>
      <w:r>
        <w:t>Rodolfo Sacco,</w:t>
      </w:r>
      <w:r>
        <w:rPr>
          <w:rFonts w:cs="Calibri"/>
        </w:rPr>
        <w:t xml:space="preserve"> </w:t>
      </w:r>
      <w:r>
        <w:rPr>
          <w:rFonts w:cs="Calibri"/>
          <w:i/>
        </w:rPr>
        <w:t>Introduzione al diritto comparato</w:t>
      </w:r>
      <w:r>
        <w:rPr>
          <w:rFonts w:cs="Calibri"/>
        </w:rPr>
        <w:t xml:space="preserve"> </w:t>
      </w:r>
      <w:r>
        <w:t xml:space="preserve">(5th edn, 1993), 148 ff; Alan Watson, </w:t>
      </w:r>
      <w:r>
        <w:rPr>
          <w:rFonts w:cs="Calibri"/>
        </w:rPr>
        <w:t xml:space="preserve">‘Comparative Law and Legal Change’, (1978) </w:t>
      </w:r>
      <w:r>
        <w:rPr>
          <w:rFonts w:cs="Calibri"/>
          <w:i/>
        </w:rPr>
        <w:t>Cambridge LJ</w:t>
      </w:r>
      <w:r>
        <w:rPr>
          <w:rFonts w:cs="Calibri"/>
        </w:rPr>
        <w:t xml:space="preserve"> </w:t>
      </w:r>
      <w:r>
        <w:t>313.</w:t>
      </w:r>
    </w:p>
    <w:p w:rsidR="00441B30" w:rsidRDefault="00C96797">
      <w:pPr>
        <w:numPr>
          <w:ilvl w:val="0"/>
          <w:numId w:val="2"/>
        </w:numPr>
        <w:spacing w:after="193" w:line="327" w:lineRule="auto"/>
        <w:ind w:hanging="431"/>
      </w:pPr>
      <w:r>
        <w:rPr>
          <w:rFonts w:cs="Calibri"/>
        </w:rPr>
        <w:t xml:space="preserve">Ugo Mattei, ‘Efficiency in Legal Transplants: An Essay in Comparative Law and Eco­nomics’ (1994) 14 </w:t>
      </w:r>
      <w:r>
        <w:rPr>
          <w:rFonts w:cs="Calibri"/>
          <w:i/>
        </w:rPr>
        <w:t>International Review of Law and Economics</w:t>
      </w:r>
      <w:r>
        <w:rPr>
          <w:rFonts w:cs="Calibri"/>
        </w:rPr>
        <w:t xml:space="preserve"> </w:t>
      </w:r>
      <w:r>
        <w:t>3.</w:t>
      </w:r>
    </w:p>
    <w:p w:rsidR="00441B30" w:rsidRDefault="00C96797">
      <w:pPr>
        <w:numPr>
          <w:ilvl w:val="0"/>
          <w:numId w:val="2"/>
        </w:numPr>
        <w:spacing w:after="193" w:line="327" w:lineRule="auto"/>
        <w:ind w:hanging="431"/>
      </w:pPr>
      <w:r>
        <w:rPr>
          <w:rFonts w:cs="Calibri"/>
        </w:rPr>
        <w:t>Joey T. Chen</w:t>
      </w:r>
      <w:r>
        <w:rPr>
          <w:rFonts w:cs="Calibri"/>
        </w:rPr>
        <w:t xml:space="preserve">g et al ‘Two ways to the top: Evidence that dominance and prestige are distinct yet viable avenues to social rank and influence’, (2013) 104 </w:t>
      </w:r>
      <w:r>
        <w:rPr>
          <w:rFonts w:cs="Calibri"/>
          <w:i/>
        </w:rPr>
        <w:t>Journal of Personality and Social Psychology</w:t>
      </w:r>
      <w:r>
        <w:rPr>
          <w:rFonts w:cs="Calibri"/>
        </w:rPr>
        <w:t xml:space="preserve"> </w:t>
      </w:r>
      <w:r>
        <w:t>1, 103.</w:t>
      </w:r>
    </w:p>
    <w:p w:rsidR="00441B30" w:rsidRDefault="00C96797">
      <w:pPr>
        <w:numPr>
          <w:ilvl w:val="0"/>
          <w:numId w:val="2"/>
        </w:numPr>
        <w:spacing w:after="193" w:line="327" w:lineRule="auto"/>
        <w:ind w:hanging="431"/>
      </w:pPr>
      <w:r>
        <w:rPr>
          <w:rFonts w:cs="Calibri"/>
        </w:rPr>
        <w:t>Emanuelle Saada, ‘The Empire of Law: Dignity, Prestige, and Do</w:t>
      </w:r>
      <w:r>
        <w:rPr>
          <w:rFonts w:cs="Calibri"/>
        </w:rPr>
        <w:t xml:space="preserve">mination in the “Colonial Situation”, (2002) 20 </w:t>
      </w:r>
      <w:r>
        <w:rPr>
          <w:rFonts w:cs="Calibri"/>
          <w:i/>
        </w:rPr>
        <w:t>French Politics, Culture and Society</w:t>
      </w:r>
      <w:r>
        <w:rPr>
          <w:rFonts w:cs="Calibri"/>
        </w:rPr>
        <w:t xml:space="preserve"> 98–120. In similar </w:t>
      </w:r>
      <w:r>
        <w:t>contexts, prestige is a way to exercise hegemony.</w:t>
      </w:r>
    </w:p>
    <w:p w:rsidR="00441B30" w:rsidRDefault="00C96797">
      <w:pPr>
        <w:numPr>
          <w:ilvl w:val="0"/>
          <w:numId w:val="2"/>
        </w:numPr>
        <w:spacing w:after="193" w:line="327" w:lineRule="auto"/>
        <w:ind w:hanging="431"/>
      </w:pPr>
      <w:r>
        <w:rPr>
          <w:rFonts w:cs="Calibri"/>
        </w:rPr>
        <w:t>Mathias Reimann, ‘A Career in Itself-The German Professoriate as a Model for Ameri­</w:t>
      </w:r>
      <w:r>
        <w:t>can Legal Academia,</w:t>
      </w:r>
      <w:r>
        <w:t xml:space="preserve"> in</w:t>
      </w:r>
      <w:r>
        <w:rPr>
          <w:rFonts w:cs="Calibri"/>
        </w:rPr>
        <w:t xml:space="preserve"> </w:t>
      </w:r>
      <w:r>
        <w:rPr>
          <w:rFonts w:cs="Calibri"/>
          <w:i/>
        </w:rPr>
        <w:t>idem</w:t>
      </w:r>
      <w:r>
        <w:t>,</w:t>
      </w:r>
      <w:r>
        <w:rPr>
          <w:rFonts w:cs="Calibri"/>
        </w:rPr>
        <w:t xml:space="preserve"> </w:t>
      </w:r>
      <w:r>
        <w:rPr>
          <w:rFonts w:cs="Calibri"/>
          <w:i/>
        </w:rPr>
        <w:t>The Reception of Continental Ideas</w:t>
      </w:r>
      <w:r>
        <w:rPr>
          <w:rFonts w:cs="Calibri"/>
        </w:rPr>
        <w:t xml:space="preserve"> </w:t>
      </w:r>
      <w:r>
        <w:t>(n 23), 165 ff.</w:t>
      </w:r>
    </w:p>
    <w:p w:rsidR="00441B30" w:rsidRDefault="00C96797">
      <w:pPr>
        <w:numPr>
          <w:ilvl w:val="0"/>
          <w:numId w:val="2"/>
        </w:numPr>
        <w:spacing w:after="193" w:line="327" w:lineRule="auto"/>
        <w:ind w:hanging="431"/>
      </w:pPr>
      <w:r>
        <w:rPr>
          <w:rFonts w:cs="Calibri"/>
        </w:rPr>
        <w:t>This is why companies consider opinion leaders an attractive initial target for market­</w:t>
      </w:r>
      <w:r>
        <w:t>ing.</w:t>
      </w:r>
    </w:p>
    <w:p w:rsidR="00441B30" w:rsidRDefault="00C96797">
      <w:pPr>
        <w:numPr>
          <w:ilvl w:val="0"/>
          <w:numId w:val="2"/>
        </w:numPr>
        <w:spacing w:after="195" w:line="326" w:lineRule="auto"/>
        <w:ind w:hanging="431"/>
      </w:pPr>
      <w:r>
        <w:t>Diego Eduardo Lopez de Medina,</w:t>
      </w:r>
      <w:r>
        <w:rPr>
          <w:rFonts w:cs="Calibri"/>
        </w:rPr>
        <w:t xml:space="preserve"> </w:t>
      </w:r>
      <w:r>
        <w:rPr>
          <w:rFonts w:cs="Calibri"/>
          <w:i/>
        </w:rPr>
        <w:t>Teoría impura del derecho: La transformación de la cultura jurídica lati</w:t>
      </w:r>
      <w:r>
        <w:rPr>
          <w:rFonts w:cs="Calibri"/>
          <w:i/>
        </w:rPr>
        <w:t>noamericana</w:t>
      </w:r>
      <w:r>
        <w:rPr>
          <w:rFonts w:cs="Calibri"/>
        </w:rPr>
        <w:t xml:space="preserve"> </w:t>
      </w:r>
      <w:r>
        <w:t>(2004) brilliantly illustrates this point.</w:t>
      </w:r>
    </w:p>
    <w:p w:rsidR="00441B30" w:rsidRDefault="00C96797">
      <w:pPr>
        <w:numPr>
          <w:ilvl w:val="0"/>
          <w:numId w:val="2"/>
        </w:numPr>
        <w:spacing w:after="3" w:line="327" w:lineRule="auto"/>
        <w:ind w:hanging="431"/>
      </w:pPr>
      <w:r>
        <w:rPr>
          <w:rFonts w:cs="Calibri"/>
        </w:rPr>
        <w:lastRenderedPageBreak/>
        <w:t xml:space="preserve">Jean-Frédéric Morin and Edward Richard Gold, ‘An integrated model of legal trans­plantation: the diffusion of intellectual property law in developing countries’, (2014) 58 </w:t>
      </w:r>
      <w:r>
        <w:rPr>
          <w:rFonts w:cs="Calibri"/>
          <w:i/>
        </w:rPr>
        <w:t>International studies quarter</w:t>
      </w:r>
      <w:r>
        <w:rPr>
          <w:rFonts w:cs="Calibri"/>
          <w:i/>
        </w:rPr>
        <w:t>ly</w:t>
      </w:r>
      <w:r>
        <w:rPr>
          <w:rFonts w:cs="Calibri"/>
        </w:rPr>
        <w:t xml:space="preserve"> </w:t>
      </w:r>
      <w:r>
        <w:t xml:space="preserve">781. For a discussion of a specific case: Liguo Zhang, and </w:t>
      </w:r>
    </w:p>
    <w:p w:rsidR="00441B30" w:rsidRDefault="00C96797">
      <w:pPr>
        <w:spacing w:after="193" w:line="327" w:lineRule="auto"/>
        <w:ind w:left="-5"/>
      </w:pPr>
      <w:r>
        <w:rPr>
          <w:rFonts w:cs="Calibri"/>
        </w:rPr>
        <w:t>Niklas Bruun ‘Legal Transplantation of Intellectual Property Rights in China: Resistance, Adaptation and Reconciliation’, (2017) 48 IIC-International Review of Intellectual Proper</w:t>
      </w:r>
      <w:r>
        <w:rPr>
          <w:rFonts w:cs="Calibri"/>
          <w:i/>
        </w:rPr>
        <w:t>ty and Competi</w:t>
      </w:r>
      <w:r>
        <w:rPr>
          <w:rFonts w:cs="Calibri"/>
          <w:i/>
        </w:rPr>
        <w:t>tion Law</w:t>
      </w:r>
      <w:r>
        <w:rPr>
          <w:rFonts w:cs="Calibri"/>
        </w:rPr>
        <w:t xml:space="preserve"> </w:t>
      </w:r>
      <w:r>
        <w:t>4.</w:t>
      </w:r>
    </w:p>
    <w:p w:rsidR="00441B30" w:rsidRDefault="00C96797">
      <w:pPr>
        <w:numPr>
          <w:ilvl w:val="0"/>
          <w:numId w:val="2"/>
        </w:numPr>
        <w:spacing w:after="193" w:line="327" w:lineRule="auto"/>
        <w:ind w:hanging="431"/>
      </w:pPr>
      <w:r>
        <w:rPr>
          <w:rFonts w:cs="Calibri"/>
        </w:rPr>
        <w:t xml:space="preserve">Bernard S. Black, Reinier Kraakman, and Anna Tarassova, ‘Russian Privatization and Corporate Governance: What Went Wrong?’, (2000) 52 </w:t>
      </w:r>
      <w:r>
        <w:rPr>
          <w:rFonts w:cs="Calibri"/>
          <w:i/>
        </w:rPr>
        <w:t>Stanford LR</w:t>
      </w:r>
      <w:r>
        <w:rPr>
          <w:rFonts w:cs="Calibri"/>
        </w:rPr>
        <w:t xml:space="preserve"> </w:t>
      </w:r>
      <w:r>
        <w:t>1731.</w:t>
      </w:r>
    </w:p>
    <w:p w:rsidR="00441B30" w:rsidRDefault="00C96797">
      <w:pPr>
        <w:numPr>
          <w:ilvl w:val="0"/>
          <w:numId w:val="2"/>
        </w:numPr>
        <w:spacing w:after="247"/>
        <w:ind w:hanging="431"/>
      </w:pPr>
      <w:r>
        <w:t>Mattei (n 77).</w:t>
      </w:r>
    </w:p>
    <w:p w:rsidR="00441B30" w:rsidRDefault="00C96797">
      <w:pPr>
        <w:numPr>
          <w:ilvl w:val="0"/>
          <w:numId w:val="2"/>
        </w:numPr>
        <w:ind w:hanging="431"/>
      </w:pPr>
      <w:r>
        <w:t>Their features show significant variations, however. See eg Curtis Milhaupt (</w:t>
      </w:r>
      <w:r>
        <w:t>ed),</w:t>
      </w:r>
      <w:r>
        <w:rPr>
          <w:rFonts w:cs="Calibri"/>
        </w:rPr>
        <w:t xml:space="preserve"> </w:t>
      </w:r>
      <w:r>
        <w:rPr>
          <w:rFonts w:cs="Calibri"/>
          <w:i/>
        </w:rPr>
        <w:t>Global Markets, Domestic Institutions: Corporate Law and Governance in a New Era of Cross-Border Deals</w:t>
      </w:r>
      <w:r>
        <w:rPr>
          <w:rFonts w:cs="Calibri"/>
        </w:rPr>
        <w:t xml:space="preserve"> </w:t>
      </w:r>
      <w:r>
        <w:t xml:space="preserve">(2003). On the gap between transplanted law and everyday practice: </w:t>
      </w:r>
      <w:r>
        <w:rPr>
          <w:rFonts w:cs="Calibri"/>
        </w:rPr>
        <w:t>John Gillespie, ‘Transplanted Company Law: An Ideological and Cultural Analysis o</w:t>
      </w:r>
      <w:r>
        <w:rPr>
          <w:rFonts w:cs="Calibri"/>
        </w:rPr>
        <w:t xml:space="preserve">f Market-Entry in Vietnam’, (2002) 51 </w:t>
      </w:r>
      <w:r>
        <w:rPr>
          <w:rFonts w:cs="Calibri"/>
          <w:i/>
        </w:rPr>
        <w:t>ICLQ</w:t>
      </w:r>
      <w:r>
        <w:rPr>
          <w:rFonts w:cs="Calibri"/>
        </w:rPr>
        <w:t xml:space="preserve"> </w:t>
      </w:r>
      <w:r>
        <w:t>641.</w:t>
      </w:r>
    </w:p>
    <w:p w:rsidR="00441B30" w:rsidRDefault="00C96797">
      <w:pPr>
        <w:numPr>
          <w:ilvl w:val="0"/>
          <w:numId w:val="2"/>
        </w:numPr>
        <w:spacing w:after="193" w:line="327" w:lineRule="auto"/>
        <w:ind w:hanging="431"/>
      </w:pPr>
      <w:r>
        <w:rPr>
          <w:rFonts w:cs="Calibri"/>
        </w:rPr>
        <w:t>Rafael La Porta et al, ‘The Economic Consequences of Legal Origins’, (2008) 46 Jour</w:t>
      </w:r>
      <w:r>
        <w:rPr>
          <w:rFonts w:cs="Calibri"/>
          <w:i/>
        </w:rPr>
        <w:t>nal of Economic Literature</w:t>
      </w:r>
      <w:r>
        <w:rPr>
          <w:rFonts w:cs="Calibri"/>
        </w:rPr>
        <w:t xml:space="preserve"> 285. The authors first presented their thesis in ‘Legal Determinants of External Finance’, (1997) </w:t>
      </w:r>
      <w:r>
        <w:rPr>
          <w:rFonts w:cs="Calibri"/>
        </w:rPr>
        <w:t xml:space="preserve">52 </w:t>
      </w:r>
      <w:r>
        <w:rPr>
          <w:rFonts w:cs="Calibri"/>
          <w:i/>
        </w:rPr>
        <w:t>Journal of Finance</w:t>
      </w:r>
      <w:r>
        <w:rPr>
          <w:rFonts w:cs="Calibri"/>
        </w:rPr>
        <w:t xml:space="preserve"> </w:t>
      </w:r>
      <w:r>
        <w:t>1131.</w:t>
      </w:r>
    </w:p>
    <w:p w:rsidR="00441B30" w:rsidRDefault="00C96797">
      <w:pPr>
        <w:numPr>
          <w:ilvl w:val="0"/>
          <w:numId w:val="2"/>
        </w:numPr>
        <w:spacing w:after="84" w:line="259" w:lineRule="auto"/>
        <w:ind w:hanging="431"/>
      </w:pPr>
      <w:r>
        <w:rPr>
          <w:rFonts w:cs="Calibri"/>
        </w:rPr>
        <w:t xml:space="preserve">For criticisms, see, e.g., Ralf Michaels, ‘The Functionalism of Legal Origins’, in </w:t>
      </w:r>
    </w:p>
    <w:p w:rsidR="00441B30" w:rsidRDefault="00C96797">
      <w:pPr>
        <w:spacing w:after="59" w:line="259" w:lineRule="auto"/>
        <w:ind w:left="-5"/>
      </w:pPr>
      <w:r>
        <w:t>Michael Faure and Jan Smits (eds),</w:t>
      </w:r>
      <w:r>
        <w:rPr>
          <w:rFonts w:cs="Calibri"/>
        </w:rPr>
        <w:t xml:space="preserve"> </w:t>
      </w:r>
      <w:r>
        <w:rPr>
          <w:rFonts w:cs="Calibri"/>
          <w:i/>
        </w:rPr>
        <w:t>Does Law Matter? On Law and Economic Growth</w:t>
      </w:r>
      <w:r>
        <w:rPr>
          <w:rFonts w:cs="Calibri"/>
          <w:sz w:val="22"/>
        </w:rPr>
        <w:t xml:space="preserve"> </w:t>
      </w:r>
    </w:p>
    <w:p w:rsidR="00441B30" w:rsidRDefault="00C96797">
      <w:pPr>
        <w:spacing w:after="193" w:line="327" w:lineRule="auto"/>
        <w:ind w:left="-5"/>
      </w:pPr>
      <w:r>
        <w:rPr>
          <w:rFonts w:cs="Calibri"/>
        </w:rPr>
        <w:t xml:space="preserve">(2011) 21 ff; Daniel M Klerman, et al, ‘Legal origin or colonial history?’, (2011) 3 </w:t>
      </w:r>
      <w:r>
        <w:rPr>
          <w:rFonts w:cs="Calibri"/>
          <w:i/>
        </w:rPr>
        <w:t>Journal of Legal Analysis</w:t>
      </w:r>
      <w:r>
        <w:rPr>
          <w:rFonts w:cs="Calibri"/>
        </w:rPr>
        <w:t xml:space="preserve"> </w:t>
      </w:r>
      <w:r>
        <w:t>379; M. Siems (n 7), 377 ff.</w:t>
      </w:r>
    </w:p>
    <w:p w:rsidR="00441B30" w:rsidRDefault="00C96797">
      <w:pPr>
        <w:numPr>
          <w:ilvl w:val="0"/>
          <w:numId w:val="3"/>
        </w:numPr>
        <w:spacing w:after="193" w:line="327" w:lineRule="auto"/>
        <w:ind w:hanging="531"/>
      </w:pPr>
      <w:r>
        <w:rPr>
          <w:rFonts w:cs="Calibri"/>
        </w:rPr>
        <w:t xml:space="preserve">Holger Spamann, ‘Contemporary legal transplants: legal families and the diffusion of (Corporate) law’, (2009) </w:t>
      </w:r>
      <w:r>
        <w:rPr>
          <w:rFonts w:cs="Calibri"/>
          <w:i/>
        </w:rPr>
        <w:t>Brigham Young University LR</w:t>
      </w:r>
      <w:r>
        <w:rPr>
          <w:rFonts w:cs="Calibri"/>
        </w:rPr>
        <w:t xml:space="preserve"> </w:t>
      </w:r>
      <w:r>
        <w:t>1813.</w:t>
      </w:r>
    </w:p>
    <w:p w:rsidR="00441B30" w:rsidRDefault="00C96797">
      <w:pPr>
        <w:numPr>
          <w:ilvl w:val="0"/>
          <w:numId w:val="3"/>
        </w:numPr>
        <w:spacing w:after="233"/>
        <w:ind w:hanging="531"/>
      </w:pPr>
      <w:r>
        <w:t>Douglas C. North,</w:t>
      </w:r>
      <w:r>
        <w:rPr>
          <w:rFonts w:cs="Calibri"/>
        </w:rPr>
        <w:t xml:space="preserve"> </w:t>
      </w:r>
      <w:r>
        <w:rPr>
          <w:rFonts w:cs="Calibri"/>
          <w:i/>
        </w:rPr>
        <w:t>Economic Performance through Time</w:t>
      </w:r>
      <w:r>
        <w:rPr>
          <w:rFonts w:cs="Calibri"/>
        </w:rPr>
        <w:t xml:space="preserve"> </w:t>
      </w:r>
      <w:r>
        <w:t>(Nobel prize lecture, 1993).</w:t>
      </w:r>
    </w:p>
    <w:p w:rsidR="00441B30" w:rsidRDefault="00C96797">
      <w:pPr>
        <w:numPr>
          <w:ilvl w:val="0"/>
          <w:numId w:val="3"/>
        </w:numPr>
        <w:spacing w:after="201" w:line="321" w:lineRule="auto"/>
        <w:ind w:hanging="531"/>
      </w:pPr>
      <w:r>
        <w:rPr>
          <w:rFonts w:cs="Calibri"/>
        </w:rPr>
        <w:t xml:space="preserve">cf Daniel Berkowitz, Katharina </w:t>
      </w:r>
      <w:r>
        <w:rPr>
          <w:rFonts w:cs="Calibri"/>
        </w:rPr>
        <w:t xml:space="preserve">Pistor, and Jean-Francois Richard, ‘The Transplant Ef­fect’, (2003) 51 </w:t>
      </w:r>
      <w:r>
        <w:rPr>
          <w:rFonts w:cs="Calibri"/>
          <w:i/>
        </w:rPr>
        <w:t>AJCL</w:t>
      </w:r>
      <w:r>
        <w:rPr>
          <w:rFonts w:cs="Calibri"/>
        </w:rPr>
        <w:t xml:space="preserve"> 163; Valentin Seidler, ‘Colonial Bureaucrats, Institutional Transplants, and Development in the 20th Century’, (2016) 1 Zeitschrift für Verwaltungs</w:t>
      </w:r>
      <w:r>
        <w:rPr>
          <w:rFonts w:cs="Calibri"/>
          <w:i/>
        </w:rPr>
        <w:t>geschichte</w:t>
      </w:r>
      <w:r>
        <w:rPr>
          <w:rFonts w:cs="Calibri"/>
        </w:rPr>
        <w:t xml:space="preserve"> </w:t>
      </w:r>
      <w:r>
        <w:t>155.</w:t>
      </w:r>
    </w:p>
    <w:p w:rsidR="00441B30" w:rsidRDefault="00C96797">
      <w:pPr>
        <w:numPr>
          <w:ilvl w:val="0"/>
          <w:numId w:val="3"/>
        </w:numPr>
        <w:spacing w:after="193" w:line="327" w:lineRule="auto"/>
        <w:ind w:hanging="531"/>
      </w:pPr>
      <w:r>
        <w:rPr>
          <w:rFonts w:cs="Calibri"/>
        </w:rPr>
        <w:t>Michel Nussbaumer</w:t>
      </w:r>
      <w:r>
        <w:rPr>
          <w:rFonts w:cs="Calibri"/>
        </w:rPr>
        <w:t xml:space="preserve"> and Frederique Dahan, ‘Promoting Legal Reform in Eastern Eu­rope: the EBRD Approach’, in Christa Jessel-Holst et al (eds), Private Law in Eastern Eu</w:t>
      </w:r>
      <w:r>
        <w:rPr>
          <w:rFonts w:cs="Calibri"/>
          <w:i/>
        </w:rPr>
        <w:t>rope: Autonomous Developments or Legal Transplants?</w:t>
      </w:r>
      <w:r>
        <w:rPr>
          <w:rFonts w:cs="Calibri"/>
        </w:rPr>
        <w:t xml:space="preserve"> </w:t>
      </w:r>
      <w:r>
        <w:t>(2010), 15 ff.</w:t>
      </w:r>
    </w:p>
    <w:p w:rsidR="00441B30" w:rsidRDefault="00C96797">
      <w:pPr>
        <w:numPr>
          <w:ilvl w:val="0"/>
          <w:numId w:val="3"/>
        </w:numPr>
        <w:ind w:hanging="531"/>
      </w:pPr>
      <w:r>
        <w:t>See, eg, Dan W. Puchniak, Harald Baum, a</w:t>
      </w:r>
      <w:r>
        <w:t>nd Luke Nottage (eds),</w:t>
      </w:r>
      <w:r>
        <w:rPr>
          <w:rFonts w:cs="Calibri"/>
        </w:rPr>
        <w:t xml:space="preserve"> Independent Direc</w:t>
      </w:r>
      <w:r>
        <w:rPr>
          <w:rFonts w:cs="Calibri"/>
          <w:i/>
        </w:rPr>
        <w:t>tors in Asia: A Historical, Contextual and Comparative Approach</w:t>
      </w:r>
      <w:r>
        <w:rPr>
          <w:rFonts w:cs="Calibri"/>
        </w:rPr>
        <w:t xml:space="preserve"> </w:t>
      </w:r>
      <w:r>
        <w:t xml:space="preserve">(2017) (the empirical support for staffing boards with independent directors remains shaky). For an insightful </w:t>
      </w:r>
      <w:r>
        <w:rPr>
          <w:rFonts w:cs="Calibri"/>
        </w:rPr>
        <w:t>general discussion: Holger Spamann, ‘Empi</w:t>
      </w:r>
      <w:r>
        <w:rPr>
          <w:rFonts w:cs="Calibri"/>
        </w:rPr>
        <w:t xml:space="preserve">rical Comparative Law’ (2015) 11 Ann. Rev. </w:t>
      </w:r>
      <w:r>
        <w:t>Law &amp; Social Science 131.</w:t>
      </w:r>
    </w:p>
    <w:p w:rsidR="00441B30" w:rsidRDefault="00C96797">
      <w:pPr>
        <w:numPr>
          <w:ilvl w:val="0"/>
          <w:numId w:val="3"/>
        </w:numPr>
        <w:spacing w:after="193" w:line="327" w:lineRule="auto"/>
        <w:ind w:hanging="531"/>
      </w:pPr>
      <w:r>
        <w:rPr>
          <w:rFonts w:cs="Calibri"/>
        </w:rPr>
        <w:t xml:space="preserve">Randall Peerenboom, ‘Toward a methodology for successful legal transplants’, (2013) </w:t>
      </w:r>
      <w:r>
        <w:t>1</w:t>
      </w:r>
      <w:r>
        <w:rPr>
          <w:rFonts w:cs="Calibri"/>
        </w:rPr>
        <w:t xml:space="preserve"> </w:t>
      </w:r>
      <w:r>
        <w:rPr>
          <w:rFonts w:cs="Calibri"/>
          <w:i/>
        </w:rPr>
        <w:t>The Chinese Journal of Comparative Law</w:t>
      </w:r>
      <w:r>
        <w:rPr>
          <w:rFonts w:cs="Calibri"/>
        </w:rPr>
        <w:t xml:space="preserve"> </w:t>
      </w:r>
      <w:r>
        <w:t>4.</w:t>
      </w:r>
    </w:p>
    <w:p w:rsidR="00441B30" w:rsidRDefault="00C96797">
      <w:pPr>
        <w:numPr>
          <w:ilvl w:val="0"/>
          <w:numId w:val="3"/>
        </w:numPr>
        <w:spacing w:after="193" w:line="327" w:lineRule="auto"/>
        <w:ind w:hanging="531"/>
      </w:pPr>
      <w:r>
        <w:rPr>
          <w:rFonts w:cs="Calibri"/>
        </w:rPr>
        <w:lastRenderedPageBreak/>
        <w:t xml:space="preserve">Alvaro Santos, ‘The World Bank’s Uses of the “Rule of Law” </w:t>
      </w:r>
      <w:r>
        <w:rPr>
          <w:rFonts w:cs="Calibri"/>
        </w:rPr>
        <w:t>Promise in Economic De­velopment’, in David Trubek and Alvaro Santos (eds), The New Law and Economic Devel</w:t>
      </w:r>
      <w:r>
        <w:rPr>
          <w:rFonts w:cs="Calibri"/>
          <w:i/>
        </w:rPr>
        <w:t>opment: A Critical Appraisal</w:t>
      </w:r>
      <w:r>
        <w:rPr>
          <w:rFonts w:cs="Calibri"/>
        </w:rPr>
        <w:t xml:space="preserve"> </w:t>
      </w:r>
      <w:r>
        <w:t>(2006) 253 ff.</w:t>
      </w:r>
    </w:p>
    <w:p w:rsidR="00441B30" w:rsidRDefault="00C96797">
      <w:pPr>
        <w:numPr>
          <w:ilvl w:val="0"/>
          <w:numId w:val="3"/>
        </w:numPr>
        <w:spacing w:after="195" w:line="326" w:lineRule="auto"/>
        <w:ind w:hanging="531"/>
      </w:pPr>
      <w:r>
        <w:t>Yves Dezalay and Bryan G. Garth,</w:t>
      </w:r>
      <w:r>
        <w:rPr>
          <w:rFonts w:cs="Calibri"/>
        </w:rPr>
        <w:t xml:space="preserve"> </w:t>
      </w:r>
      <w:r>
        <w:rPr>
          <w:rFonts w:cs="Calibri"/>
          <w:i/>
        </w:rPr>
        <w:t>The Internationalization of Palace Wars: Lawyers, Economists and the Cont</w:t>
      </w:r>
      <w:r>
        <w:rPr>
          <w:rFonts w:cs="Calibri"/>
          <w:i/>
        </w:rPr>
        <w:t>est to Transform Latin American States</w:t>
      </w:r>
      <w:r>
        <w:rPr>
          <w:rFonts w:cs="Calibri"/>
        </w:rPr>
        <w:t xml:space="preserve"> </w:t>
      </w:r>
      <w:r>
        <w:t>(2002).</w:t>
      </w:r>
    </w:p>
    <w:p w:rsidR="00441B30" w:rsidRDefault="00C96797">
      <w:pPr>
        <w:numPr>
          <w:ilvl w:val="0"/>
          <w:numId w:val="3"/>
        </w:numPr>
        <w:spacing w:after="193" w:line="327" w:lineRule="auto"/>
        <w:ind w:hanging="531"/>
      </w:pPr>
      <w:r>
        <w:rPr>
          <w:rFonts w:cs="Calibri"/>
        </w:rPr>
        <w:t xml:space="preserve">Cp Gianmaria Ajani, ‘By Chance and by Prestige: Legal Transplants in Russia and Eastern Europe’, (1995) 43 </w:t>
      </w:r>
      <w:r>
        <w:rPr>
          <w:rFonts w:cs="Calibri"/>
          <w:i/>
        </w:rPr>
        <w:t>AJCL</w:t>
      </w:r>
      <w:r>
        <w:rPr>
          <w:rFonts w:cs="Calibri"/>
        </w:rPr>
        <w:t xml:space="preserve"> </w:t>
      </w:r>
      <w:r>
        <w:t>93, on the debates concerning transplants in post-soviet regimes: Jessel-Holst, et al (n 92).</w:t>
      </w:r>
    </w:p>
    <w:p w:rsidR="00441B30" w:rsidRDefault="00C96797">
      <w:pPr>
        <w:numPr>
          <w:ilvl w:val="0"/>
          <w:numId w:val="3"/>
        </w:numPr>
        <w:spacing w:after="3" w:line="327" w:lineRule="auto"/>
        <w:ind w:hanging="531"/>
      </w:pPr>
      <w:r>
        <w:rPr>
          <w:rFonts w:cs="Calibri"/>
        </w:rPr>
        <w:t>Eli</w:t>
      </w:r>
      <w:r>
        <w:rPr>
          <w:rFonts w:cs="Calibri"/>
        </w:rPr>
        <w:t xml:space="preserve">sabetta Grande, ‘Legal Transplants and the Inoculation Effect: How American Criminal Procedure Has Affected Continental Europe’, (2016) 64 </w:t>
      </w:r>
      <w:r>
        <w:rPr>
          <w:rFonts w:cs="Calibri"/>
          <w:i/>
        </w:rPr>
        <w:t>AJCL</w:t>
      </w:r>
      <w:r>
        <w:rPr>
          <w:rFonts w:cs="Calibri"/>
        </w:rPr>
        <w:t xml:space="preserve"> 583. On the influence of American law in Europe: Symposium ‘L’Américanisation du droit’, (2001) 45 </w:t>
      </w:r>
    </w:p>
    <w:p w:rsidR="00441B30" w:rsidRDefault="00C96797">
      <w:pPr>
        <w:spacing w:after="264" w:line="259" w:lineRule="auto"/>
        <w:ind w:left="-5"/>
      </w:pPr>
      <w:r>
        <w:rPr>
          <w:rFonts w:cs="Calibri"/>
          <w:i/>
        </w:rPr>
        <w:t xml:space="preserve">Archives de </w:t>
      </w:r>
      <w:r>
        <w:rPr>
          <w:rFonts w:cs="Calibri"/>
          <w:i/>
        </w:rPr>
        <w:t>philosophie du droit</w:t>
      </w:r>
      <w:r>
        <w:rPr>
          <w:rFonts w:cs="Calibri"/>
        </w:rPr>
        <w:t xml:space="preserve"> 7–271, and Daniel R. Kelemen, </w:t>
      </w:r>
      <w:r>
        <w:rPr>
          <w:rFonts w:cs="Calibri"/>
          <w:i/>
        </w:rPr>
        <w:t>Eurolegalism</w:t>
      </w:r>
      <w:r>
        <w:rPr>
          <w:rFonts w:cs="Calibri"/>
        </w:rPr>
        <w:t xml:space="preserve"> </w:t>
      </w:r>
      <w:r>
        <w:t>(2011).</w:t>
      </w:r>
    </w:p>
    <w:p w:rsidR="00441B30" w:rsidRDefault="00C96797">
      <w:pPr>
        <w:numPr>
          <w:ilvl w:val="0"/>
          <w:numId w:val="3"/>
        </w:numPr>
        <w:spacing w:after="83" w:line="259" w:lineRule="auto"/>
        <w:ind w:hanging="531"/>
      </w:pPr>
      <w:r>
        <w:rPr>
          <w:rFonts w:cs="Calibri"/>
        </w:rPr>
        <w:t xml:space="preserve">See, e.g., Paul Schiff Berman, Global Legal Pluralism (2012) Gunter Teubner, ‘Global </w:t>
      </w:r>
    </w:p>
    <w:p w:rsidR="00441B30" w:rsidRDefault="00C96797">
      <w:pPr>
        <w:spacing w:after="193" w:line="327" w:lineRule="auto"/>
        <w:ind w:left="-5"/>
      </w:pPr>
      <w:r>
        <w:rPr>
          <w:rFonts w:cs="Calibri"/>
        </w:rPr>
        <w:t xml:space="preserve">Bukowina: Legal Pluralism in the World Society’ in </w:t>
      </w:r>
      <w:r>
        <w:rPr>
          <w:rFonts w:cs="Calibri"/>
          <w:i/>
        </w:rPr>
        <w:t>idem,</w:t>
      </w:r>
      <w:r>
        <w:rPr>
          <w:rFonts w:cs="Calibri"/>
        </w:rPr>
        <w:t xml:space="preserve"> </w:t>
      </w:r>
      <w:r>
        <w:t>(ed),</w:t>
      </w:r>
      <w:r>
        <w:rPr>
          <w:rFonts w:cs="Calibri"/>
        </w:rPr>
        <w:t xml:space="preserve"> </w:t>
      </w:r>
      <w:r>
        <w:rPr>
          <w:rFonts w:cs="Calibri"/>
          <w:i/>
        </w:rPr>
        <w:t>Global Law Without a State</w:t>
      </w:r>
      <w:r>
        <w:rPr>
          <w:rFonts w:cs="Calibri"/>
          <w:sz w:val="22"/>
        </w:rPr>
        <w:t xml:space="preserve"> </w:t>
      </w:r>
      <w:r>
        <w:rPr>
          <w:rFonts w:cs="Calibri"/>
        </w:rPr>
        <w:t xml:space="preserve">(1997), </w:t>
      </w:r>
      <w:r>
        <w:rPr>
          <w:rFonts w:cs="Calibri"/>
        </w:rPr>
        <w:t xml:space="preserve">3 ff; for the traditional context: Jacques Vanderlinden, ‘Trente ans de longue marche sur la voie du pluralisme juridique’, in Cahiers de l’anthropologie du droit </w:t>
      </w:r>
      <w:r>
        <w:t>(2003), 21 ff; Norbert Rouland,</w:t>
      </w:r>
      <w:r>
        <w:rPr>
          <w:rFonts w:cs="Calibri"/>
        </w:rPr>
        <w:t xml:space="preserve"> </w:t>
      </w:r>
      <w:r>
        <w:rPr>
          <w:rFonts w:cs="Calibri"/>
          <w:i/>
        </w:rPr>
        <w:t>Legal Anthropology</w:t>
      </w:r>
      <w:r>
        <w:rPr>
          <w:rFonts w:cs="Calibri"/>
        </w:rPr>
        <w:t xml:space="preserve"> </w:t>
      </w:r>
      <w:r>
        <w:t xml:space="preserve">(transl Planel, 1994). The works of scholars </w:t>
      </w:r>
      <w:r>
        <w:rPr>
          <w:rFonts w:cs="Calibri"/>
        </w:rPr>
        <w:t>like Franz and Keebet Benda-Beckman, Nicholas Kasirer, Ichiro Kitamura, Roderick Mac</w:t>
      </w:r>
      <w:r>
        <w:t>donald, Laura Nader, come to mind here.</w:t>
      </w:r>
    </w:p>
    <w:p w:rsidR="00441B30" w:rsidRDefault="00C96797">
      <w:pPr>
        <w:numPr>
          <w:ilvl w:val="0"/>
          <w:numId w:val="3"/>
        </w:numPr>
        <w:ind w:hanging="531"/>
      </w:pPr>
      <w:r>
        <w:t>For an excellent study concerning the Japanese situation, see Ichiro Kitamura,</w:t>
      </w:r>
      <w:r>
        <w:rPr>
          <w:rFonts w:cs="Calibri"/>
        </w:rPr>
        <w:t xml:space="preserve"> Prob</w:t>
      </w:r>
      <w:r>
        <w:rPr>
          <w:rFonts w:cs="Calibri"/>
          <w:i/>
        </w:rPr>
        <w:t>lems</w:t>
      </w:r>
      <w:r>
        <w:rPr>
          <w:rFonts w:cs="Calibri"/>
          <w:i/>
        </w:rPr>
        <w:t xml:space="preserve"> of the Translation of Law in Japan</w:t>
      </w:r>
      <w:r>
        <w:rPr>
          <w:rFonts w:cs="Calibri"/>
        </w:rPr>
        <w:t xml:space="preserve"> </w:t>
      </w:r>
      <w:r>
        <w:t>(1993).</w:t>
      </w:r>
    </w:p>
    <w:p w:rsidR="00441B30" w:rsidRDefault="00C96797">
      <w:pPr>
        <w:numPr>
          <w:ilvl w:val="0"/>
          <w:numId w:val="3"/>
        </w:numPr>
        <w:ind w:hanging="531"/>
      </w:pPr>
      <w:r>
        <w:t>The point is forcefully made by Alan Watson,</w:t>
      </w:r>
      <w:r>
        <w:rPr>
          <w:rFonts w:cs="Calibri"/>
        </w:rPr>
        <w:t xml:space="preserve"> </w:t>
      </w:r>
      <w:r>
        <w:rPr>
          <w:rFonts w:cs="Calibri"/>
          <w:i/>
        </w:rPr>
        <w:t>Roman Law and Comparative Law</w:t>
      </w:r>
      <w:r>
        <w:rPr>
          <w:rFonts w:cs="Calibri"/>
          <w:sz w:val="22"/>
        </w:rPr>
        <w:t xml:space="preserve"> </w:t>
      </w:r>
      <w:r>
        <w:t>(1991), 97.</w:t>
      </w:r>
    </w:p>
    <w:p w:rsidR="00441B30" w:rsidRDefault="00C96797">
      <w:pPr>
        <w:numPr>
          <w:ilvl w:val="0"/>
          <w:numId w:val="3"/>
        </w:numPr>
        <w:ind w:hanging="531"/>
      </w:pPr>
      <w:r>
        <w:t xml:space="preserve">This is why prices should not be confused with sanctions, and vice versa. They do not </w:t>
      </w:r>
      <w:r>
        <w:rPr>
          <w:rFonts w:cs="Calibri"/>
        </w:rPr>
        <w:t>work the same way: Robert Cooter, ‘Pric</w:t>
      </w:r>
      <w:r>
        <w:rPr>
          <w:rFonts w:cs="Calibri"/>
        </w:rPr>
        <w:t xml:space="preserve">es and Sanctions’, (1984) 84 </w:t>
      </w:r>
      <w:r>
        <w:rPr>
          <w:rFonts w:cs="Calibri"/>
          <w:i/>
        </w:rPr>
        <w:t>Columbia LR</w:t>
      </w:r>
      <w:r>
        <w:rPr>
          <w:rFonts w:cs="Calibri"/>
        </w:rPr>
        <w:t xml:space="preserve"> </w:t>
      </w:r>
      <w:r>
        <w:t>1523.</w:t>
      </w:r>
    </w:p>
    <w:p w:rsidR="00441B30" w:rsidRDefault="00C96797">
      <w:pPr>
        <w:numPr>
          <w:ilvl w:val="0"/>
          <w:numId w:val="3"/>
        </w:numPr>
        <w:ind w:hanging="531"/>
      </w:pPr>
      <w:r>
        <w:t>Charles de Secondat, Baron de Montesquieu,</w:t>
      </w:r>
      <w:r>
        <w:rPr>
          <w:rFonts w:cs="Calibri"/>
        </w:rPr>
        <w:t xml:space="preserve"> </w:t>
      </w:r>
      <w:r>
        <w:rPr>
          <w:rFonts w:cs="Calibri"/>
          <w:i/>
        </w:rPr>
        <w:t>The Spirit of the Laws</w:t>
      </w:r>
      <w:r>
        <w:rPr>
          <w:rFonts w:cs="Calibri"/>
        </w:rPr>
        <w:t xml:space="preserve"> (4th edn, T. Nu</w:t>
      </w:r>
      <w:r>
        <w:t>gent trans, 1766) Book I, Ch 3, 7.</w:t>
      </w:r>
    </w:p>
    <w:p w:rsidR="00441B30" w:rsidRDefault="00C96797">
      <w:pPr>
        <w:numPr>
          <w:ilvl w:val="0"/>
          <w:numId w:val="3"/>
        </w:numPr>
        <w:spacing w:after="193" w:line="327" w:lineRule="auto"/>
        <w:ind w:hanging="531"/>
      </w:pPr>
      <w:r>
        <w:rPr>
          <w:rFonts w:cs="Calibri"/>
        </w:rPr>
        <w:t xml:space="preserve">Robert Launay, ‘Montesquieu: The Specter of Despotism and the Origins of Compar­ative Law’, in Annelise Riles (ed), </w:t>
      </w:r>
      <w:r>
        <w:rPr>
          <w:rFonts w:cs="Calibri"/>
          <w:i/>
        </w:rPr>
        <w:t>Rethinking the Masters of Comparative Law</w:t>
      </w:r>
      <w:r>
        <w:rPr>
          <w:rFonts w:cs="Calibri"/>
        </w:rPr>
        <w:t xml:space="preserve"> </w:t>
      </w:r>
      <w:r>
        <w:t>(2001), 22, 23 ff.</w:t>
      </w:r>
    </w:p>
    <w:p w:rsidR="00441B30" w:rsidRDefault="00C96797">
      <w:pPr>
        <w:numPr>
          <w:ilvl w:val="0"/>
          <w:numId w:val="3"/>
        </w:numPr>
        <w:ind w:hanging="531"/>
      </w:pPr>
      <w:r>
        <w:t>Peter Stein,</w:t>
      </w:r>
      <w:r>
        <w:rPr>
          <w:rFonts w:cs="Calibri"/>
        </w:rPr>
        <w:t xml:space="preserve"> </w:t>
      </w:r>
      <w:r>
        <w:rPr>
          <w:rFonts w:cs="Calibri"/>
          <w:i/>
        </w:rPr>
        <w:t>Legal Evolution: The Story of an Idea</w:t>
      </w:r>
      <w:r>
        <w:rPr>
          <w:rFonts w:cs="Calibri"/>
        </w:rPr>
        <w:t xml:space="preserve"> </w:t>
      </w:r>
      <w:r>
        <w:t xml:space="preserve">(1980), 56 ff., but Jhering </w:t>
      </w:r>
      <w:r>
        <w:t xml:space="preserve">was not </w:t>
      </w:r>
      <w:r>
        <w:rPr>
          <w:rFonts w:cs="Calibri"/>
        </w:rPr>
        <w:t>convinced (ibid. 65–6).</w:t>
      </w:r>
    </w:p>
    <w:p w:rsidR="00441B30" w:rsidRDefault="00C96797">
      <w:pPr>
        <w:numPr>
          <w:ilvl w:val="0"/>
          <w:numId w:val="3"/>
        </w:numPr>
        <w:ind w:hanging="531"/>
      </w:pPr>
      <w:r>
        <w:t>Emile Durkheim,</w:t>
      </w:r>
      <w:r>
        <w:rPr>
          <w:rFonts w:cs="Calibri"/>
        </w:rPr>
        <w:t xml:space="preserve"> </w:t>
      </w:r>
      <w:r>
        <w:rPr>
          <w:rFonts w:cs="Calibri"/>
          <w:i/>
        </w:rPr>
        <w:t>The Division of Labour in Society</w:t>
      </w:r>
      <w:r>
        <w:rPr>
          <w:rFonts w:cs="Calibri"/>
        </w:rPr>
        <w:t xml:space="preserve"> </w:t>
      </w:r>
      <w:r>
        <w:t>(1893, W. D. Halls transl, 1984). In later works Durkheim softened his position.</w:t>
      </w:r>
    </w:p>
    <w:p w:rsidR="00441B30" w:rsidRDefault="00C96797">
      <w:pPr>
        <w:numPr>
          <w:ilvl w:val="0"/>
          <w:numId w:val="3"/>
        </w:numPr>
        <w:spacing w:after="193" w:line="327" w:lineRule="auto"/>
        <w:ind w:hanging="531"/>
      </w:pPr>
      <w:r>
        <w:rPr>
          <w:rFonts w:cs="Calibri"/>
        </w:rPr>
        <w:t>cf Roger Cotterell, ‘Is there a Logic of Legal Transplants?’, in David Nelken and Jo­</w:t>
      </w:r>
      <w:r>
        <w:t>hannes F</w:t>
      </w:r>
      <w:r>
        <w:t>eest (eds),</w:t>
      </w:r>
      <w:r>
        <w:rPr>
          <w:rFonts w:cs="Calibri"/>
        </w:rPr>
        <w:t xml:space="preserve"> </w:t>
      </w:r>
      <w:r>
        <w:rPr>
          <w:rFonts w:cs="Calibri"/>
          <w:i/>
        </w:rPr>
        <w:t>Adapting Legal Cultures</w:t>
      </w:r>
      <w:r>
        <w:rPr>
          <w:rFonts w:cs="Calibri"/>
        </w:rPr>
        <w:t xml:space="preserve"> </w:t>
      </w:r>
      <w:r>
        <w:t>(2001), 71 ff., and his chapter in this book.</w:t>
      </w:r>
    </w:p>
    <w:p w:rsidR="00441B30" w:rsidRDefault="00C96797">
      <w:pPr>
        <w:numPr>
          <w:ilvl w:val="0"/>
          <w:numId w:val="3"/>
        </w:numPr>
        <w:spacing w:after="193" w:line="327" w:lineRule="auto"/>
        <w:ind w:hanging="531"/>
      </w:pPr>
      <w:r>
        <w:rPr>
          <w:rFonts w:cs="Calibri"/>
        </w:rPr>
        <w:t xml:space="preserve">Mathias Siems, ‘The Curious Case of Overfitting Legal Transplants’, in Maurice </w:t>
      </w:r>
      <w:r>
        <w:t>Adams and Dirk Heirbaut (eds),</w:t>
      </w:r>
      <w:r>
        <w:rPr>
          <w:rFonts w:cs="Calibri"/>
        </w:rPr>
        <w:t xml:space="preserve"> </w:t>
      </w:r>
      <w:r>
        <w:rPr>
          <w:rFonts w:cs="Calibri"/>
          <w:i/>
        </w:rPr>
        <w:t>The Method and Culture of Comparative Law: Essays in Honour of M</w:t>
      </w:r>
      <w:r>
        <w:rPr>
          <w:rFonts w:cs="Calibri"/>
          <w:i/>
        </w:rPr>
        <w:t>ark Van Hoecke</w:t>
      </w:r>
      <w:r>
        <w:rPr>
          <w:rFonts w:cs="Calibri"/>
        </w:rPr>
        <w:t xml:space="preserve"> (2014), 133–46.</w:t>
      </w:r>
    </w:p>
    <w:p w:rsidR="00441B30" w:rsidRDefault="00C96797">
      <w:pPr>
        <w:numPr>
          <w:ilvl w:val="0"/>
          <w:numId w:val="3"/>
        </w:numPr>
        <w:spacing w:after="193" w:line="327" w:lineRule="auto"/>
        <w:ind w:hanging="531"/>
      </w:pPr>
      <w:r>
        <w:rPr>
          <w:rFonts w:cs="Calibri"/>
        </w:rPr>
        <w:lastRenderedPageBreak/>
        <w:t xml:space="preserve">Legrand’s many contributions cannot all be cited in a footnote. A representative sample of his early works on the topic includes at least: ‘The Impossibility of Legal Transplants’, (1997) 4 </w:t>
      </w:r>
      <w:r>
        <w:rPr>
          <w:rFonts w:cs="Calibri"/>
          <w:i/>
        </w:rPr>
        <w:t xml:space="preserve">Maastricht Journal of European and </w:t>
      </w:r>
      <w:r>
        <w:rPr>
          <w:rFonts w:cs="Calibri"/>
          <w:i/>
        </w:rPr>
        <w:t>Comparative Law</w:t>
      </w:r>
      <w:r>
        <w:rPr>
          <w:rFonts w:cs="Calibri"/>
        </w:rPr>
        <w:t xml:space="preserve"> </w:t>
      </w:r>
      <w:r>
        <w:t>111;</w:t>
      </w:r>
      <w:r>
        <w:rPr>
          <w:rFonts w:cs="Calibri"/>
        </w:rPr>
        <w:t xml:space="preserve"> </w:t>
      </w:r>
      <w:r>
        <w:rPr>
          <w:rFonts w:cs="Calibri"/>
          <w:i/>
        </w:rPr>
        <w:t>idem</w:t>
      </w:r>
      <w:r>
        <w:rPr>
          <w:rFonts w:cs="Calibri"/>
        </w:rPr>
        <w:t xml:space="preserve">, ‘The Same and the Different’, in Legrand and Munday (eds) (n 34), 240 ff; idem, ‘Issues in the Translatability of Law’, in Sandra Berman and Michael Wood (eds), </w:t>
      </w:r>
      <w:r>
        <w:rPr>
          <w:rFonts w:cs="Calibri"/>
          <w:i/>
        </w:rPr>
        <w:t>Nation, Language and the Ethics of Translation</w:t>
      </w:r>
      <w:r>
        <w:rPr>
          <w:rFonts w:cs="Calibri"/>
        </w:rPr>
        <w:t xml:space="preserve"> </w:t>
      </w:r>
      <w:r>
        <w:t>(2005) 30 ff. More re</w:t>
      </w:r>
      <w:r>
        <w:t xml:space="preserve">cently: idem, Negative Comparative Law </w:t>
      </w:r>
      <w:r>
        <w:rPr>
          <w:rFonts w:cs="Calibri"/>
        </w:rPr>
        <w:t>(2015) JCL 405, 438–439.</w:t>
      </w:r>
    </w:p>
    <w:p w:rsidR="00441B30" w:rsidRDefault="00C96797">
      <w:pPr>
        <w:numPr>
          <w:ilvl w:val="0"/>
          <w:numId w:val="3"/>
        </w:numPr>
        <w:spacing w:after="193" w:line="327" w:lineRule="auto"/>
        <w:ind w:hanging="531"/>
      </w:pPr>
      <w:r>
        <w:rPr>
          <w:rFonts w:cs="Calibri"/>
        </w:rPr>
        <w:t xml:space="preserve">For Watson’s rejoinder: Alan Watson, ‘Legal Transplants and European Private Law’, </w:t>
      </w:r>
      <w:r>
        <w:t>(2000) 4.4</w:t>
      </w:r>
      <w:r>
        <w:rPr>
          <w:rFonts w:cs="Calibri"/>
        </w:rPr>
        <w:t xml:space="preserve"> </w:t>
      </w:r>
      <w:r>
        <w:rPr>
          <w:rFonts w:cs="Calibri"/>
          <w:i/>
        </w:rPr>
        <w:t>Electronic Journal of Comparative Law</w:t>
      </w:r>
      <w:r>
        <w:rPr>
          <w:rFonts w:cs="Calibri"/>
        </w:rPr>
        <w:t xml:space="preserve"> </w:t>
      </w:r>
      <w:r>
        <w:t>&lt;</w:t>
      </w:r>
      <w:hyperlink r:id="rId22">
        <w:r>
          <w:t>http://www.ejcl.org</w:t>
        </w:r>
      </w:hyperlink>
      <w:r>
        <w:t>&gt;.</w:t>
      </w:r>
    </w:p>
    <w:p w:rsidR="00441B30" w:rsidRDefault="00C96797">
      <w:pPr>
        <w:numPr>
          <w:ilvl w:val="0"/>
          <w:numId w:val="3"/>
        </w:numPr>
        <w:spacing w:after="193" w:line="327" w:lineRule="auto"/>
        <w:ind w:hanging="531"/>
      </w:pPr>
      <w:r>
        <w:rPr>
          <w:rFonts w:cs="Calibri"/>
        </w:rPr>
        <w:t xml:space="preserve">Legrand, ‘The impossibility’ (n 109), 122. In the same sense: Richard L. Abel, ‘Law as Lag: Inertia as a Social Theory of Law’, (1982) 80 </w:t>
      </w:r>
      <w:r>
        <w:rPr>
          <w:rFonts w:cs="Calibri"/>
          <w:i/>
        </w:rPr>
        <w:t>Michigan LR</w:t>
      </w:r>
      <w:r>
        <w:rPr>
          <w:rFonts w:cs="Calibri"/>
        </w:rPr>
        <w:t xml:space="preserve"> </w:t>
      </w:r>
      <w:r>
        <w:t xml:space="preserve">785, 803. Note that </w:t>
      </w:r>
      <w:r>
        <w:rPr>
          <w:rFonts w:cs="Calibri"/>
        </w:rPr>
        <w:t>there can be malicious legal transplants, namely, cases in which a dictatorial or authoritarian regime borrows ideas institutions or rules from abroad: Mathias Siems, ‘Malicious Legal Transplants’, (2018) 38 Legal Studies 103; James Q. Whitman, Hitler’s Am</w:t>
      </w:r>
      <w:r>
        <w:rPr>
          <w:rFonts w:cs="Calibri"/>
        </w:rPr>
        <w:t xml:space="preserve">erican </w:t>
      </w:r>
      <w:r>
        <w:rPr>
          <w:rFonts w:cs="Calibri"/>
          <w:i/>
        </w:rPr>
        <w:t>Model: The United States and the Making of Nazi Race Law</w:t>
      </w:r>
      <w:r>
        <w:rPr>
          <w:rFonts w:cs="Calibri"/>
        </w:rPr>
        <w:t xml:space="preserve"> (2017). But these are un</w:t>
      </w:r>
      <w:r>
        <w:t>masked by the study of the topic, and Watson would surely not object to this!</w:t>
      </w:r>
    </w:p>
    <w:p w:rsidR="00441B30" w:rsidRDefault="00C96797">
      <w:pPr>
        <w:numPr>
          <w:ilvl w:val="0"/>
          <w:numId w:val="3"/>
        </w:numPr>
        <w:spacing w:after="193" w:line="327" w:lineRule="auto"/>
        <w:ind w:hanging="531"/>
      </w:pPr>
      <w:r>
        <w:rPr>
          <w:rFonts w:cs="Calibri"/>
        </w:rPr>
        <w:t xml:space="preserve">Pier Giuseppe Monateri, ‘Everybody’s Talking: The Future of Comparative Law’, </w:t>
      </w:r>
      <w:r>
        <w:t>(1998) 21</w:t>
      </w:r>
      <w:r>
        <w:rPr>
          <w:rFonts w:cs="Calibri"/>
        </w:rPr>
        <w:t xml:space="preserve"> </w:t>
      </w:r>
      <w:r>
        <w:rPr>
          <w:rFonts w:cs="Calibri"/>
          <w:i/>
        </w:rPr>
        <w:t>Ha</w:t>
      </w:r>
      <w:r>
        <w:rPr>
          <w:rFonts w:cs="Calibri"/>
          <w:i/>
        </w:rPr>
        <w:t>stings International and Comparative LR</w:t>
      </w:r>
      <w:r>
        <w:rPr>
          <w:rFonts w:cs="Calibri"/>
        </w:rPr>
        <w:t xml:space="preserve"> </w:t>
      </w:r>
      <w:r>
        <w:t xml:space="preserve">825, 840, advances this reading of </w:t>
      </w:r>
      <w:r>
        <w:rPr>
          <w:rFonts w:cs="Calibri"/>
        </w:rPr>
        <w:t>Watson’s work.</w:t>
      </w:r>
    </w:p>
    <w:p w:rsidR="00441B30" w:rsidRDefault="00C96797">
      <w:pPr>
        <w:numPr>
          <w:ilvl w:val="0"/>
          <w:numId w:val="3"/>
        </w:numPr>
        <w:spacing w:after="193" w:line="327" w:lineRule="auto"/>
        <w:ind w:hanging="531"/>
      </w:pPr>
      <w:r>
        <w:rPr>
          <w:rFonts w:cs="Calibri"/>
        </w:rPr>
        <w:t xml:space="preserve">Tony Weir, ‘The Timing of Decisions’, (2001) </w:t>
      </w:r>
      <w:r>
        <w:rPr>
          <w:rFonts w:cs="Calibri"/>
          <w:i/>
        </w:rPr>
        <w:t>Zeitschrift für Europäisches Privatrecht</w:t>
      </w:r>
      <w:r>
        <w:rPr>
          <w:rFonts w:cs="Calibri"/>
          <w:sz w:val="22"/>
        </w:rPr>
        <w:t xml:space="preserve"> </w:t>
      </w:r>
      <w:r>
        <w:t>678, 685.</w:t>
      </w:r>
    </w:p>
    <w:p w:rsidR="00441B30" w:rsidRDefault="00C96797">
      <w:pPr>
        <w:numPr>
          <w:ilvl w:val="0"/>
          <w:numId w:val="3"/>
        </w:numPr>
        <w:spacing w:after="193" w:line="327" w:lineRule="auto"/>
        <w:ind w:hanging="531"/>
      </w:pPr>
      <w:r>
        <w:rPr>
          <w:rFonts w:cs="Calibri"/>
        </w:rPr>
        <w:t>Raffaele Caterina, ‘Comparative Law and the Cognitive Revolution’, (20</w:t>
      </w:r>
      <w:r>
        <w:rPr>
          <w:rFonts w:cs="Calibri"/>
        </w:rPr>
        <w:t>04) 78 Tu</w:t>
      </w:r>
      <w:r>
        <w:rPr>
          <w:rFonts w:cs="Calibri"/>
          <w:i/>
        </w:rPr>
        <w:t>lane LR</w:t>
      </w:r>
      <w:r>
        <w:rPr>
          <w:rFonts w:cs="Calibri"/>
        </w:rPr>
        <w:t xml:space="preserve"> </w:t>
      </w:r>
      <w:r>
        <w:t>1501.</w:t>
      </w:r>
    </w:p>
    <w:p w:rsidR="00441B30" w:rsidRDefault="00C96797">
      <w:pPr>
        <w:numPr>
          <w:ilvl w:val="0"/>
          <w:numId w:val="3"/>
        </w:numPr>
        <w:ind w:hanging="531"/>
      </w:pPr>
      <w:r>
        <w:t>Alan Watson,</w:t>
      </w:r>
      <w:r>
        <w:rPr>
          <w:rFonts w:cs="Calibri"/>
        </w:rPr>
        <w:t xml:space="preserve"> </w:t>
      </w:r>
      <w:r>
        <w:rPr>
          <w:rFonts w:cs="Calibri"/>
          <w:i/>
        </w:rPr>
        <w:t>Legal Transplants</w:t>
      </w:r>
      <w:r>
        <w:t>:</w:t>
      </w:r>
      <w:r>
        <w:rPr>
          <w:rFonts w:cs="Calibri"/>
        </w:rPr>
        <w:t xml:space="preserve"> </w:t>
      </w:r>
      <w:r>
        <w:rPr>
          <w:rFonts w:cs="Calibri"/>
          <w:i/>
        </w:rPr>
        <w:t>An Approach to Comparative Law</w:t>
      </w:r>
      <w:r>
        <w:rPr>
          <w:rFonts w:cs="Calibri"/>
        </w:rPr>
        <w:t xml:space="preserve"> </w:t>
      </w:r>
      <w:r>
        <w:t>(2nd edn, with an afterword, 1993), 95.</w:t>
      </w:r>
    </w:p>
    <w:p w:rsidR="00441B30" w:rsidRDefault="00C96797">
      <w:pPr>
        <w:numPr>
          <w:ilvl w:val="0"/>
          <w:numId w:val="3"/>
        </w:numPr>
        <w:spacing w:after="193" w:line="327" w:lineRule="auto"/>
        <w:ind w:hanging="531"/>
      </w:pPr>
      <w:r>
        <w:rPr>
          <w:rFonts w:cs="Calibri"/>
        </w:rPr>
        <w:t>See, e.g., Pierre Legrand, ‘Issues’ (n 114), 48 n 47: ‘It seems pertinent to repeat that I should not be understood as arguing tha</w:t>
      </w:r>
      <w:r>
        <w:rPr>
          <w:rFonts w:cs="Calibri"/>
        </w:rPr>
        <w:t>t communication across legal cultures is absolutely impossible’.</w:t>
      </w:r>
    </w:p>
    <w:p w:rsidR="00441B30" w:rsidRDefault="00C96797">
      <w:pPr>
        <w:numPr>
          <w:ilvl w:val="0"/>
          <w:numId w:val="3"/>
        </w:numPr>
        <w:spacing w:after="193" w:line="327" w:lineRule="auto"/>
        <w:ind w:hanging="531"/>
      </w:pPr>
      <w:r>
        <w:rPr>
          <w:rFonts w:cs="Calibri"/>
        </w:rPr>
        <w:t xml:space="preserve">Rodolfo Sacco, ‘Legal Formants. A Dynamic Approach to Comparative Law’, (1991) </w:t>
      </w:r>
      <w:r>
        <w:t>39</w:t>
      </w:r>
      <w:r>
        <w:rPr>
          <w:rFonts w:cs="Calibri"/>
        </w:rPr>
        <w:t xml:space="preserve"> </w:t>
      </w:r>
      <w:r>
        <w:rPr>
          <w:rFonts w:cs="Calibri"/>
          <w:i/>
        </w:rPr>
        <w:t>AJCL</w:t>
      </w:r>
      <w:r>
        <w:rPr>
          <w:rFonts w:cs="Calibri"/>
        </w:rPr>
        <w:t xml:space="preserve"> 1; Alan Watson, ‘From Legal Transplants to Legal Formants’, (1995) 43 </w:t>
      </w:r>
      <w:r>
        <w:rPr>
          <w:rFonts w:cs="Calibri"/>
          <w:i/>
        </w:rPr>
        <w:t>AJCL</w:t>
      </w:r>
      <w:r>
        <w:rPr>
          <w:rFonts w:cs="Calibri"/>
        </w:rPr>
        <w:t xml:space="preserve"> </w:t>
      </w:r>
      <w:r>
        <w:t>469.</w:t>
      </w:r>
    </w:p>
    <w:p w:rsidR="00441B30" w:rsidRDefault="00C96797">
      <w:pPr>
        <w:numPr>
          <w:ilvl w:val="0"/>
          <w:numId w:val="3"/>
        </w:numPr>
        <w:spacing w:after="193" w:line="327" w:lineRule="auto"/>
        <w:ind w:hanging="531"/>
      </w:pPr>
      <w:r>
        <w:rPr>
          <w:rFonts w:cs="Calibri"/>
        </w:rPr>
        <w:t xml:space="preserve">See the classic article </w:t>
      </w:r>
      <w:r>
        <w:rPr>
          <w:rFonts w:cs="Calibri"/>
        </w:rPr>
        <w:t xml:space="preserve">by Otto Kahn-Freund, ‘On Uses and Misuses of Comparative Law’, (1972) 37 </w:t>
      </w:r>
      <w:r>
        <w:rPr>
          <w:rFonts w:cs="Calibri"/>
          <w:i/>
        </w:rPr>
        <w:t>Modern LR</w:t>
      </w:r>
      <w:r>
        <w:rPr>
          <w:rFonts w:cs="Calibri"/>
        </w:rPr>
        <w:t xml:space="preserve"> 1. For a critical, helpful rivisitation of ‘legal culture’ as an ex</w:t>
      </w:r>
      <w:r>
        <w:t xml:space="preserve">planatory device, see Franz Von Benda-Beckmann and Keebet Von Benda-Beckmann, </w:t>
      </w:r>
      <w:r>
        <w:rPr>
          <w:rFonts w:cs="Calibri"/>
        </w:rPr>
        <w:t>‘Why Not Legal Culture’, (20</w:t>
      </w:r>
      <w:r>
        <w:rPr>
          <w:rFonts w:cs="Calibri"/>
        </w:rPr>
        <w:t xml:space="preserve">10) </w:t>
      </w:r>
      <w:r>
        <w:rPr>
          <w:rFonts w:cs="Calibri"/>
          <w:i/>
        </w:rPr>
        <w:t>5 Journal of Comparative Law</w:t>
      </w:r>
      <w:r>
        <w:rPr>
          <w:rFonts w:cs="Calibri"/>
        </w:rPr>
        <w:t xml:space="preserve"> </w:t>
      </w:r>
      <w:r>
        <w:t>104.</w:t>
      </w:r>
    </w:p>
    <w:p w:rsidR="00441B30" w:rsidRDefault="00C96797">
      <w:pPr>
        <w:numPr>
          <w:ilvl w:val="0"/>
          <w:numId w:val="3"/>
        </w:numPr>
        <w:spacing w:after="193" w:line="327" w:lineRule="auto"/>
        <w:ind w:hanging="531"/>
      </w:pPr>
      <w:r>
        <w:t xml:space="preserve">Compare the explanation of English resistance to good faith advanced by Hein Kötz, </w:t>
      </w:r>
      <w:r>
        <w:rPr>
          <w:rFonts w:cs="Calibri"/>
        </w:rPr>
        <w:t>‘Towards a European Civil Code: The Duty of Good Faith’, in Peter Cane and Jane Staple</w:t>
      </w:r>
      <w:r>
        <w:t>ton (eds),</w:t>
      </w:r>
      <w:r>
        <w:rPr>
          <w:rFonts w:cs="Calibri"/>
        </w:rPr>
        <w:t xml:space="preserve"> </w:t>
      </w:r>
      <w:r>
        <w:rPr>
          <w:rFonts w:cs="Calibri"/>
          <w:i/>
        </w:rPr>
        <w:t>The Law of Obligations: Essays in Cele</w:t>
      </w:r>
      <w:r>
        <w:rPr>
          <w:rFonts w:cs="Calibri"/>
          <w:i/>
        </w:rPr>
        <w:t>bration of John Fleming</w:t>
      </w:r>
      <w:r>
        <w:rPr>
          <w:rFonts w:cs="Calibri"/>
        </w:rPr>
        <w:t xml:space="preserve"> </w:t>
      </w:r>
      <w:r>
        <w:t xml:space="preserve">(1998), 243 ff (most English precedents concern commercial cases; the litigation on good faith in other </w:t>
      </w:r>
      <w:r>
        <w:rPr>
          <w:rFonts w:cs="Calibri"/>
        </w:rPr>
        <w:t>jurisdictions is of a different nature), with that advanced by Gunther Teubner, ‘Legal Irritants: Good Faith in British Law or H</w:t>
      </w:r>
      <w:r>
        <w:rPr>
          <w:rFonts w:cs="Calibri"/>
        </w:rPr>
        <w:t xml:space="preserve">ow Unifying Law Ends Up in New Divergencies’, </w:t>
      </w:r>
      <w:r>
        <w:t>(1998) 61</w:t>
      </w:r>
      <w:r>
        <w:rPr>
          <w:rFonts w:cs="Calibri"/>
        </w:rPr>
        <w:t xml:space="preserve"> </w:t>
      </w:r>
      <w:r>
        <w:rPr>
          <w:rFonts w:cs="Calibri"/>
          <w:i/>
        </w:rPr>
        <w:t>Modern LR</w:t>
      </w:r>
      <w:r>
        <w:rPr>
          <w:rFonts w:cs="Calibri"/>
        </w:rPr>
        <w:t xml:space="preserve"> </w:t>
      </w:r>
      <w:r>
        <w:t xml:space="preserve">11 (the type of capitalism prevailing in Britain is incompatible with </w:t>
      </w:r>
      <w:r>
        <w:rPr>
          <w:rFonts w:cs="Calibri"/>
        </w:rPr>
        <w:t>that notion. … But what about Scotland then?).</w:t>
      </w:r>
    </w:p>
    <w:p w:rsidR="00441B30" w:rsidRDefault="00C96797">
      <w:pPr>
        <w:numPr>
          <w:ilvl w:val="0"/>
          <w:numId w:val="3"/>
        </w:numPr>
        <w:spacing w:after="20"/>
        <w:ind w:hanging="531"/>
      </w:pPr>
      <w:r>
        <w:lastRenderedPageBreak/>
        <w:t>Cotterell (n 107), 71 ff, 80 ff, gives many examples of similar anecdotal</w:t>
      </w:r>
      <w:r>
        <w:t xml:space="preserve"> evidence. </w:t>
      </w:r>
    </w:p>
    <w:p w:rsidR="00441B30" w:rsidRDefault="00C96797">
      <w:pPr>
        <w:spacing w:after="193" w:line="327" w:lineRule="auto"/>
        <w:ind w:left="-5"/>
      </w:pPr>
      <w:r>
        <w:rPr>
          <w:rFonts w:cs="Calibri"/>
        </w:rPr>
        <w:t xml:space="preserve">David Nelken, ‘Comparatists and Transferability’, in Legrand and Munday (eds) (n 34), 446 ff, 457, rightly notes that legal transplants are usually ‘geared to fitting an imagined </w:t>
      </w:r>
      <w:r>
        <w:rPr>
          <w:rFonts w:cs="Calibri"/>
          <w:i/>
        </w:rPr>
        <w:t>future</w:t>
      </w:r>
      <w:r>
        <w:rPr>
          <w:rFonts w:cs="Calibri"/>
        </w:rPr>
        <w:t>’ (emphasis in original).</w:t>
      </w:r>
    </w:p>
    <w:p w:rsidR="00441B30" w:rsidRDefault="00C96797">
      <w:pPr>
        <w:spacing w:after="0" w:line="259" w:lineRule="auto"/>
        <w:ind w:left="0" w:right="-1" w:firstLine="0"/>
      </w:pPr>
      <w:r>
        <w:rPr>
          <w:rFonts w:cs="Calibri"/>
          <w:noProof/>
          <w:sz w:val="22"/>
        </w:rPr>
        <mc:AlternateContent>
          <mc:Choice Requires="wpg">
            <w:drawing>
              <wp:inline distT="0" distB="0" distL="0" distR="0">
                <wp:extent cx="6120003" cy="1076452"/>
                <wp:effectExtent l="0" t="0" r="0" b="0"/>
                <wp:docPr id="52117" name="Group 52117"/>
                <wp:cNvGraphicFramePr/>
                <a:graphic xmlns:a="http://schemas.openxmlformats.org/drawingml/2006/main">
                  <a:graphicData uri="http://schemas.microsoft.com/office/word/2010/wordprocessingGroup">
                    <wpg:wgp>
                      <wpg:cNvGrpSpPr/>
                      <wpg:grpSpPr>
                        <a:xfrm>
                          <a:off x="0" y="0"/>
                          <a:ext cx="6120003" cy="1076452"/>
                          <a:chOff x="0" y="0"/>
                          <a:chExt cx="6120003" cy="1076452"/>
                        </a:xfrm>
                      </wpg:grpSpPr>
                      <wps:wsp>
                        <wps:cNvPr id="8740" name="Shape 8740"/>
                        <wps:cNvSpPr/>
                        <wps:spPr>
                          <a:xfrm>
                            <a:off x="4826" y="4826"/>
                            <a:ext cx="6110478" cy="1066927"/>
                          </a:xfrm>
                          <a:custGeom>
                            <a:avLst/>
                            <a:gdLst/>
                            <a:ahLst/>
                            <a:cxnLst/>
                            <a:rect l="0" t="0" r="0" b="0"/>
                            <a:pathLst>
                              <a:path w="6110478" h="1066927">
                                <a:moveTo>
                                  <a:pt x="0" y="0"/>
                                </a:moveTo>
                                <a:cubicBezTo>
                                  <a:pt x="0" y="0"/>
                                  <a:pt x="0" y="0"/>
                                  <a:pt x="6110478" y="0"/>
                                </a:cubicBezTo>
                                <a:cubicBezTo>
                                  <a:pt x="6110478" y="0"/>
                                  <a:pt x="6110478" y="0"/>
                                  <a:pt x="6110478" y="1066927"/>
                                </a:cubicBezTo>
                                <a:cubicBezTo>
                                  <a:pt x="6110478" y="1066927"/>
                                  <a:pt x="6110478" y="1066927"/>
                                  <a:pt x="0" y="1066927"/>
                                </a:cubicBezTo>
                                <a:cubicBezTo>
                                  <a:pt x="0" y="1066927"/>
                                  <a:pt x="0" y="1066927"/>
                                  <a:pt x="0" y="0"/>
                                </a:cubicBezTo>
                                <a:close/>
                              </a:path>
                            </a:pathLst>
                          </a:custGeom>
                          <a:ln w="0" cap="sq">
                            <a:miter lim="127000"/>
                          </a:ln>
                        </wps:spPr>
                        <wps:style>
                          <a:lnRef idx="0">
                            <a:srgbClr val="000000">
                              <a:alpha val="0"/>
                            </a:srgbClr>
                          </a:lnRef>
                          <a:fillRef idx="1">
                            <a:srgbClr val="F0F0F0"/>
                          </a:fillRef>
                          <a:effectRef idx="0">
                            <a:scrgbClr r="0" g="0" b="0"/>
                          </a:effectRef>
                          <a:fontRef idx="none"/>
                        </wps:style>
                        <wps:bodyPr/>
                      </wps:wsp>
                      <wps:wsp>
                        <wps:cNvPr id="8741" name="Shape 8741"/>
                        <wps:cNvSpPr/>
                        <wps:spPr>
                          <a:xfrm>
                            <a:off x="0" y="0"/>
                            <a:ext cx="3060002" cy="1076452"/>
                          </a:xfrm>
                          <a:custGeom>
                            <a:avLst/>
                            <a:gdLst/>
                            <a:ahLst/>
                            <a:cxnLst/>
                            <a:rect l="0" t="0" r="0" b="0"/>
                            <a:pathLst>
                              <a:path w="3060002" h="1076452">
                                <a:moveTo>
                                  <a:pt x="0" y="0"/>
                                </a:moveTo>
                                <a:lnTo>
                                  <a:pt x="3060002" y="0"/>
                                </a:lnTo>
                                <a:lnTo>
                                  <a:pt x="3060002" y="9525"/>
                                </a:lnTo>
                                <a:lnTo>
                                  <a:pt x="9525" y="9525"/>
                                </a:lnTo>
                                <a:cubicBezTo>
                                  <a:pt x="9525" y="9525"/>
                                  <a:pt x="9525" y="9525"/>
                                  <a:pt x="9525" y="1066927"/>
                                </a:cubicBezTo>
                                <a:cubicBezTo>
                                  <a:pt x="9525" y="1066927"/>
                                  <a:pt x="9525" y="1066927"/>
                                  <a:pt x="2918686" y="1066927"/>
                                </a:cubicBezTo>
                                <a:lnTo>
                                  <a:pt x="3060002" y="1066927"/>
                                </a:lnTo>
                                <a:lnTo>
                                  <a:pt x="3060002" y="1076452"/>
                                </a:lnTo>
                                <a:lnTo>
                                  <a:pt x="2918245" y="1076452"/>
                                </a:lnTo>
                                <a:cubicBezTo>
                                  <a:pt x="0" y="1076452"/>
                                  <a:pt x="0" y="1076452"/>
                                  <a:pt x="0" y="1076452"/>
                                </a:cubicBezTo>
                                <a:cubicBezTo>
                                  <a:pt x="0" y="0"/>
                                  <a:pt x="0" y="0"/>
                                  <a:pt x="0" y="0"/>
                                </a:cubicBezTo>
                                <a:close/>
                              </a:path>
                            </a:pathLst>
                          </a:custGeom>
                          <a:ln w="0" cap="sq">
                            <a:miter lim="127000"/>
                          </a:ln>
                        </wps:spPr>
                        <wps:style>
                          <a:lnRef idx="0">
                            <a:srgbClr val="000000">
                              <a:alpha val="0"/>
                            </a:srgbClr>
                          </a:lnRef>
                          <a:fillRef idx="1">
                            <a:srgbClr val="D1D1D1"/>
                          </a:fillRef>
                          <a:effectRef idx="0">
                            <a:scrgbClr r="0" g="0" b="0"/>
                          </a:effectRef>
                          <a:fontRef idx="none"/>
                        </wps:style>
                        <wps:bodyPr/>
                      </wps:wsp>
                      <wps:wsp>
                        <wps:cNvPr id="8742" name="Shape 8742"/>
                        <wps:cNvSpPr/>
                        <wps:spPr>
                          <a:xfrm>
                            <a:off x="3060002" y="0"/>
                            <a:ext cx="3060002" cy="1076452"/>
                          </a:xfrm>
                          <a:custGeom>
                            <a:avLst/>
                            <a:gdLst/>
                            <a:ahLst/>
                            <a:cxnLst/>
                            <a:rect l="0" t="0" r="0" b="0"/>
                            <a:pathLst>
                              <a:path w="3060002" h="1076452">
                                <a:moveTo>
                                  <a:pt x="0" y="0"/>
                                </a:moveTo>
                                <a:lnTo>
                                  <a:pt x="3060002" y="0"/>
                                </a:lnTo>
                                <a:cubicBezTo>
                                  <a:pt x="3060002" y="1076452"/>
                                  <a:pt x="3060002" y="1076452"/>
                                  <a:pt x="3060002" y="1076452"/>
                                </a:cubicBezTo>
                                <a:cubicBezTo>
                                  <a:pt x="1816876" y="1076452"/>
                                  <a:pt x="826260" y="1076452"/>
                                  <a:pt x="36863" y="1076452"/>
                                </a:cubicBezTo>
                                <a:lnTo>
                                  <a:pt x="0" y="1076452"/>
                                </a:lnTo>
                                <a:lnTo>
                                  <a:pt x="0" y="1066927"/>
                                </a:lnTo>
                                <a:lnTo>
                                  <a:pt x="36749" y="1066927"/>
                                </a:lnTo>
                                <a:cubicBezTo>
                                  <a:pt x="823688" y="1066927"/>
                                  <a:pt x="1811221" y="1066927"/>
                                  <a:pt x="3050477" y="1066927"/>
                                </a:cubicBezTo>
                                <a:cubicBezTo>
                                  <a:pt x="3050477" y="1066927"/>
                                  <a:pt x="3050477" y="1066927"/>
                                  <a:pt x="3050477" y="9525"/>
                                </a:cubicBezTo>
                                <a:lnTo>
                                  <a:pt x="0" y="9525"/>
                                </a:lnTo>
                                <a:lnTo>
                                  <a:pt x="0" y="0"/>
                                </a:lnTo>
                                <a:close/>
                              </a:path>
                            </a:pathLst>
                          </a:custGeom>
                          <a:ln w="0" cap="sq">
                            <a:miter lim="127000"/>
                          </a:ln>
                        </wps:spPr>
                        <wps:style>
                          <a:lnRef idx="0">
                            <a:srgbClr val="000000">
                              <a:alpha val="0"/>
                            </a:srgbClr>
                          </a:lnRef>
                          <a:fillRef idx="1">
                            <a:srgbClr val="D1D1D1"/>
                          </a:fillRef>
                          <a:effectRef idx="0">
                            <a:scrgbClr r="0" g="0" b="0"/>
                          </a:effectRef>
                          <a:fontRef idx="none"/>
                        </wps:style>
                        <wps:bodyPr/>
                      </wps:wsp>
                      <wps:wsp>
                        <wps:cNvPr id="8743" name="Rectangle 8743"/>
                        <wps:cNvSpPr/>
                        <wps:spPr>
                          <a:xfrm>
                            <a:off x="152400" y="165291"/>
                            <a:ext cx="1672070" cy="193475"/>
                          </a:xfrm>
                          <a:prstGeom prst="rect">
                            <a:avLst/>
                          </a:prstGeom>
                          <a:ln>
                            <a:noFill/>
                          </a:ln>
                        </wps:spPr>
                        <wps:txbx>
                          <w:txbxContent>
                            <w:p w:rsidR="00441B30" w:rsidRDefault="00C96797">
                              <w:pPr>
                                <w:spacing w:after="160" w:line="259" w:lineRule="auto"/>
                                <w:ind w:left="0" w:firstLine="0"/>
                              </w:pPr>
                              <w:r>
                                <w:rPr>
                                  <w:rFonts w:cs="Calibri"/>
                                  <w:w w:val="140"/>
                                  <w:sz w:val="20"/>
                                </w:rPr>
                                <w:t>Michele</w:t>
                              </w:r>
                              <w:r>
                                <w:rPr>
                                  <w:rFonts w:cs="Calibri"/>
                                  <w:spacing w:val="24"/>
                                  <w:w w:val="140"/>
                                  <w:sz w:val="20"/>
                                </w:rPr>
                                <w:t xml:space="preserve"> </w:t>
                              </w:r>
                              <w:r>
                                <w:rPr>
                                  <w:rFonts w:cs="Calibri"/>
                                  <w:w w:val="140"/>
                                  <w:sz w:val="20"/>
                                </w:rPr>
                                <w:t>Graziadei</w:t>
                              </w:r>
                            </w:p>
                          </w:txbxContent>
                        </wps:txbx>
                        <wps:bodyPr horzOverflow="overflow" vert="horz" lIns="0" tIns="0" rIns="0" bIns="0" rtlCol="0">
                          <a:noAutofit/>
                        </wps:bodyPr>
                      </wps:wsp>
                      <wps:wsp>
                        <wps:cNvPr id="8744" name="Rectangle 8744"/>
                        <wps:cNvSpPr/>
                        <wps:spPr>
                          <a:xfrm>
                            <a:off x="152400" y="418766"/>
                            <a:ext cx="7699002" cy="206453"/>
                          </a:xfrm>
                          <a:prstGeom prst="rect">
                            <a:avLst/>
                          </a:prstGeom>
                          <a:ln>
                            <a:noFill/>
                          </a:ln>
                        </wps:spPr>
                        <wps:txbx>
                          <w:txbxContent>
                            <w:p w:rsidR="00441B30" w:rsidRDefault="00C96797">
                              <w:pPr>
                                <w:spacing w:after="160" w:line="259" w:lineRule="auto"/>
                                <w:ind w:left="0" w:firstLine="0"/>
                              </w:pPr>
                              <w:r>
                                <w:rPr>
                                  <w:w w:val="126"/>
                                </w:rPr>
                                <w:t>Michele</w:t>
                              </w:r>
                              <w:r>
                                <w:rPr>
                                  <w:spacing w:val="19"/>
                                  <w:w w:val="126"/>
                                </w:rPr>
                                <w:t xml:space="preserve"> </w:t>
                              </w:r>
                              <w:r>
                                <w:rPr>
                                  <w:w w:val="126"/>
                                </w:rPr>
                                <w:t>Graziadei</w:t>
                              </w:r>
                              <w:r>
                                <w:rPr>
                                  <w:spacing w:val="19"/>
                                  <w:w w:val="126"/>
                                </w:rPr>
                                <w:t xml:space="preserve"> </w:t>
                              </w:r>
                              <w:r>
                                <w:rPr>
                                  <w:w w:val="126"/>
                                </w:rPr>
                                <w:t>is</w:t>
                              </w:r>
                              <w:r>
                                <w:rPr>
                                  <w:spacing w:val="19"/>
                                  <w:w w:val="126"/>
                                </w:rPr>
                                <w:t xml:space="preserve"> </w:t>
                              </w:r>
                              <w:r>
                                <w:rPr>
                                  <w:w w:val="126"/>
                                </w:rPr>
                                <w:t>Professor</w:t>
                              </w:r>
                              <w:r>
                                <w:rPr>
                                  <w:spacing w:val="19"/>
                                  <w:w w:val="126"/>
                                </w:rPr>
                                <w:t xml:space="preserve"> </w:t>
                              </w:r>
                              <w:r>
                                <w:rPr>
                                  <w:w w:val="126"/>
                                </w:rPr>
                                <w:t>of</w:t>
                              </w:r>
                              <w:r>
                                <w:rPr>
                                  <w:spacing w:val="19"/>
                                  <w:w w:val="126"/>
                                </w:rPr>
                                <w:t xml:space="preserve"> </w:t>
                              </w:r>
                              <w:r>
                                <w:rPr>
                                  <w:w w:val="126"/>
                                </w:rPr>
                                <w:t>Comparative</w:t>
                              </w:r>
                              <w:r>
                                <w:rPr>
                                  <w:spacing w:val="19"/>
                                  <w:w w:val="126"/>
                                </w:rPr>
                                <w:t xml:space="preserve"> </w:t>
                              </w:r>
                              <w:r>
                                <w:rPr>
                                  <w:w w:val="126"/>
                                </w:rPr>
                                <w:t>Private</w:t>
                              </w:r>
                              <w:r>
                                <w:rPr>
                                  <w:spacing w:val="19"/>
                                  <w:w w:val="126"/>
                                </w:rPr>
                                <w:t xml:space="preserve"> </w:t>
                              </w:r>
                              <w:r>
                                <w:rPr>
                                  <w:w w:val="126"/>
                                </w:rPr>
                                <w:t>Law,</w:t>
                              </w:r>
                              <w:r>
                                <w:rPr>
                                  <w:spacing w:val="19"/>
                                  <w:w w:val="126"/>
                                </w:rPr>
                                <w:t xml:space="preserve"> </w:t>
                              </w:r>
                              <w:r>
                                <w:rPr>
                                  <w:w w:val="126"/>
                                </w:rPr>
                                <w:t>University</w:t>
                              </w:r>
                              <w:r>
                                <w:rPr>
                                  <w:spacing w:val="19"/>
                                  <w:w w:val="126"/>
                                </w:rPr>
                                <w:t xml:space="preserve"> </w:t>
                              </w:r>
                              <w:r>
                                <w:rPr>
                                  <w:w w:val="126"/>
                                </w:rPr>
                                <w:t>of</w:t>
                              </w:r>
                              <w:r>
                                <w:rPr>
                                  <w:spacing w:val="19"/>
                                  <w:w w:val="126"/>
                                </w:rPr>
                                <w:t xml:space="preserve"> </w:t>
                              </w:r>
                              <w:r>
                                <w:rPr>
                                  <w:w w:val="126"/>
                                </w:rPr>
                                <w:t>Torino,</w:t>
                              </w:r>
                              <w:r>
                                <w:rPr>
                                  <w:spacing w:val="19"/>
                                  <w:w w:val="126"/>
                                </w:rPr>
                                <w:t xml:space="preserve"> </w:t>
                              </w:r>
                              <w:r>
                                <w:rPr>
                                  <w:w w:val="126"/>
                                </w:rPr>
                                <w:t>and</w:t>
                              </w:r>
                              <w:r>
                                <w:rPr>
                                  <w:spacing w:val="19"/>
                                  <w:w w:val="126"/>
                                </w:rPr>
                                <w:t xml:space="preserve"> </w:t>
                              </w:r>
                            </w:p>
                          </w:txbxContent>
                        </wps:txbx>
                        <wps:bodyPr horzOverflow="overflow" vert="horz" lIns="0" tIns="0" rIns="0" bIns="0" rtlCol="0">
                          <a:noAutofit/>
                        </wps:bodyPr>
                      </wps:wsp>
                      <wps:wsp>
                        <wps:cNvPr id="8745" name="Rectangle 8745"/>
                        <wps:cNvSpPr/>
                        <wps:spPr>
                          <a:xfrm>
                            <a:off x="152400" y="618791"/>
                            <a:ext cx="3831765" cy="206453"/>
                          </a:xfrm>
                          <a:prstGeom prst="rect">
                            <a:avLst/>
                          </a:prstGeom>
                          <a:ln>
                            <a:noFill/>
                          </a:ln>
                        </wps:spPr>
                        <wps:txbx>
                          <w:txbxContent>
                            <w:p w:rsidR="00441B30" w:rsidRDefault="00C96797">
                              <w:pPr>
                                <w:spacing w:after="160" w:line="259" w:lineRule="auto"/>
                                <w:ind w:left="0" w:firstLine="0"/>
                              </w:pPr>
                              <w:r>
                                <w:rPr>
                                  <w:w w:val="127"/>
                                </w:rPr>
                                <w:t>Collegio</w:t>
                              </w:r>
                              <w:r>
                                <w:rPr>
                                  <w:spacing w:val="19"/>
                                  <w:w w:val="127"/>
                                </w:rPr>
                                <w:t xml:space="preserve"> </w:t>
                              </w:r>
                              <w:r>
                                <w:rPr>
                                  <w:w w:val="127"/>
                                </w:rPr>
                                <w:t>Carlo</w:t>
                              </w:r>
                              <w:r>
                                <w:rPr>
                                  <w:spacing w:val="19"/>
                                  <w:w w:val="127"/>
                                </w:rPr>
                                <w:t xml:space="preserve"> </w:t>
                              </w:r>
                              <w:r>
                                <w:rPr>
                                  <w:w w:val="127"/>
                                </w:rPr>
                                <w:t>Alberto</w:t>
                              </w:r>
                              <w:r>
                                <w:rPr>
                                  <w:spacing w:val="19"/>
                                  <w:w w:val="127"/>
                                </w:rPr>
                                <w:t xml:space="preserve"> </w:t>
                              </w:r>
                              <w:r>
                                <w:rPr>
                                  <w:w w:val="127"/>
                                </w:rPr>
                                <w:t>Fellow,</w:t>
                              </w:r>
                              <w:r>
                                <w:rPr>
                                  <w:spacing w:val="19"/>
                                  <w:w w:val="127"/>
                                </w:rPr>
                                <w:t xml:space="preserve"> </w:t>
                              </w:r>
                              <w:r>
                                <w:rPr>
                                  <w:w w:val="127"/>
                                </w:rPr>
                                <w:t>Torino,</w:t>
                              </w:r>
                              <w:r>
                                <w:rPr>
                                  <w:spacing w:val="19"/>
                                  <w:w w:val="127"/>
                                </w:rPr>
                                <w:t xml:space="preserve"> </w:t>
                              </w:r>
                              <w:r>
                                <w:rPr>
                                  <w:w w:val="127"/>
                                </w:rPr>
                                <w:t>Italy</w:t>
                              </w:r>
                            </w:p>
                          </w:txbxContent>
                        </wps:txbx>
                        <wps:bodyPr horzOverflow="overflow" vert="horz" lIns="0" tIns="0" rIns="0" bIns="0" rtlCol="0">
                          <a:noAutofit/>
                        </wps:bodyPr>
                      </wps:wsp>
                    </wpg:wgp>
                  </a:graphicData>
                </a:graphic>
              </wp:inline>
            </w:drawing>
          </mc:Choice>
          <mc:Fallback xmlns:a="http://schemas.openxmlformats.org/drawingml/2006/main">
            <w:pict>
              <v:group id="Group 52117" style="width:481.89pt;height:84.76pt;mso-position-horizontal-relative:char;mso-position-vertical-relative:line" coordsize="61200,10764">
                <v:shape id="Shape 8740" style="position:absolute;width:61104;height:10669;left:48;top:48;" coordsize="6110478,1066927" path="m0,0c0,0,0,0,6110478,0c6110478,0,6110478,0,6110478,1066927c6110478,1066927,6110478,1066927,0,1066927c0,1066927,0,1066927,0,0x">
                  <v:stroke weight="0pt" endcap="square" joinstyle="miter" miterlimit="10" on="false" color="#000000" opacity="0"/>
                  <v:fill on="true" color="#f0f0f0"/>
                </v:shape>
                <v:shape id="Shape 8741" style="position:absolute;width:30600;height:10764;left:0;top:0;" coordsize="3060002,1076452" path="m0,0l3060002,0l3060002,9525l9525,9525c9525,9525,9525,9525,9525,1066927c9525,1066927,9525,1066927,2918686,1066927l3060002,1066927l3060002,1076452l2918245,1076452c0,1076452,0,1076452,0,1076452c0,0,0,0,0,0x">
                  <v:stroke weight="0pt" endcap="square" joinstyle="miter" miterlimit="10" on="false" color="#000000" opacity="0"/>
                  <v:fill on="true" color="#d1d1d1"/>
                </v:shape>
                <v:shape id="Shape 8742" style="position:absolute;width:30600;height:10764;left:30600;top:0;" coordsize="3060002,1076452" path="m0,0l3060002,0c3060002,1076452,3060002,1076452,3060002,1076452c1816876,1076452,826260,1076452,36863,1076452l0,1076452l0,1066927l36749,1066927c823688,1066927,1811221,1066927,3050477,1066927c3050477,1066927,3050477,1066927,3050477,9525l0,9525l0,0x">
                  <v:stroke weight="0pt" endcap="square" joinstyle="miter" miterlimit="10" on="false" color="#000000" opacity="0"/>
                  <v:fill on="true" color="#d1d1d1"/>
                </v:shape>
                <v:rect id="Rectangle 8743" style="position:absolute;width:16720;height:1934;left:1524;top:1652;" filled="f" stroked="f">
                  <v:textbox inset="0,0,0,0">
                    <w:txbxContent>
                      <w:p>
                        <w:pPr>
                          <w:spacing w:before="0" w:after="160" w:line="259" w:lineRule="auto"/>
                          <w:ind w:left="0" w:firstLine="0"/>
                        </w:pPr>
                        <w:r>
                          <w:rPr>
                            <w:rFonts w:cs="Calibri" w:hAnsi="Calibri" w:eastAsia="Calibri" w:ascii="Calibri"/>
                            <w:w w:val="140"/>
                            <w:sz w:val="20"/>
                          </w:rPr>
                          <w:t xml:space="preserve">Michele</w:t>
                        </w:r>
                        <w:r>
                          <w:rPr>
                            <w:rFonts w:cs="Calibri" w:hAnsi="Calibri" w:eastAsia="Calibri" w:ascii="Calibri"/>
                            <w:spacing w:val="24"/>
                            <w:w w:val="140"/>
                            <w:sz w:val="20"/>
                          </w:rPr>
                          <w:t xml:space="preserve"> </w:t>
                        </w:r>
                        <w:r>
                          <w:rPr>
                            <w:rFonts w:cs="Calibri" w:hAnsi="Calibri" w:eastAsia="Calibri" w:ascii="Calibri"/>
                            <w:w w:val="140"/>
                            <w:sz w:val="20"/>
                          </w:rPr>
                          <w:t xml:space="preserve">Graziadei</w:t>
                        </w:r>
                      </w:p>
                    </w:txbxContent>
                  </v:textbox>
                </v:rect>
                <v:rect id="Rectangle 8744" style="position:absolute;width:76990;height:2064;left:1524;top:4187;" filled="f" stroked="f">
                  <v:textbox inset="0,0,0,0">
                    <w:txbxContent>
                      <w:p>
                        <w:pPr>
                          <w:spacing w:before="0" w:after="160" w:line="259" w:lineRule="auto"/>
                          <w:ind w:left="0" w:firstLine="0"/>
                        </w:pPr>
                        <w:r>
                          <w:rPr>
                            <w:w w:val="126"/>
                          </w:rPr>
                          <w:t xml:space="preserve">Michele</w:t>
                        </w:r>
                        <w:r>
                          <w:rPr>
                            <w:spacing w:val="19"/>
                            <w:w w:val="126"/>
                          </w:rPr>
                          <w:t xml:space="preserve"> </w:t>
                        </w:r>
                        <w:r>
                          <w:rPr>
                            <w:w w:val="126"/>
                          </w:rPr>
                          <w:t xml:space="preserve">Graziadei</w:t>
                        </w:r>
                        <w:r>
                          <w:rPr>
                            <w:spacing w:val="19"/>
                            <w:w w:val="126"/>
                          </w:rPr>
                          <w:t xml:space="preserve"> </w:t>
                        </w:r>
                        <w:r>
                          <w:rPr>
                            <w:w w:val="126"/>
                          </w:rPr>
                          <w:t xml:space="preserve">is</w:t>
                        </w:r>
                        <w:r>
                          <w:rPr>
                            <w:spacing w:val="19"/>
                            <w:w w:val="126"/>
                          </w:rPr>
                          <w:t xml:space="preserve"> </w:t>
                        </w:r>
                        <w:r>
                          <w:rPr>
                            <w:w w:val="126"/>
                          </w:rPr>
                          <w:t xml:space="preserve">Professor</w:t>
                        </w:r>
                        <w:r>
                          <w:rPr>
                            <w:spacing w:val="19"/>
                            <w:w w:val="126"/>
                          </w:rPr>
                          <w:t xml:space="preserve"> </w:t>
                        </w:r>
                        <w:r>
                          <w:rPr>
                            <w:w w:val="126"/>
                          </w:rPr>
                          <w:t xml:space="preserve">of</w:t>
                        </w:r>
                        <w:r>
                          <w:rPr>
                            <w:spacing w:val="19"/>
                            <w:w w:val="126"/>
                          </w:rPr>
                          <w:t xml:space="preserve"> </w:t>
                        </w:r>
                        <w:r>
                          <w:rPr>
                            <w:w w:val="126"/>
                          </w:rPr>
                          <w:t xml:space="preserve">Comparative</w:t>
                        </w:r>
                        <w:r>
                          <w:rPr>
                            <w:spacing w:val="19"/>
                            <w:w w:val="126"/>
                          </w:rPr>
                          <w:t xml:space="preserve"> </w:t>
                        </w:r>
                        <w:r>
                          <w:rPr>
                            <w:w w:val="126"/>
                          </w:rPr>
                          <w:t xml:space="preserve">Private</w:t>
                        </w:r>
                        <w:r>
                          <w:rPr>
                            <w:spacing w:val="19"/>
                            <w:w w:val="126"/>
                          </w:rPr>
                          <w:t xml:space="preserve"> </w:t>
                        </w:r>
                        <w:r>
                          <w:rPr>
                            <w:w w:val="126"/>
                          </w:rPr>
                          <w:t xml:space="preserve">Law,</w:t>
                        </w:r>
                        <w:r>
                          <w:rPr>
                            <w:spacing w:val="19"/>
                            <w:w w:val="126"/>
                          </w:rPr>
                          <w:t xml:space="preserve"> </w:t>
                        </w:r>
                        <w:r>
                          <w:rPr>
                            <w:w w:val="126"/>
                          </w:rPr>
                          <w:t xml:space="preserve">University</w:t>
                        </w:r>
                        <w:r>
                          <w:rPr>
                            <w:spacing w:val="19"/>
                            <w:w w:val="126"/>
                          </w:rPr>
                          <w:t xml:space="preserve"> </w:t>
                        </w:r>
                        <w:r>
                          <w:rPr>
                            <w:w w:val="126"/>
                          </w:rPr>
                          <w:t xml:space="preserve">of</w:t>
                        </w:r>
                        <w:r>
                          <w:rPr>
                            <w:spacing w:val="19"/>
                            <w:w w:val="126"/>
                          </w:rPr>
                          <w:t xml:space="preserve"> </w:t>
                        </w:r>
                        <w:r>
                          <w:rPr>
                            <w:w w:val="126"/>
                          </w:rPr>
                          <w:t xml:space="preserve">Torino,</w:t>
                        </w:r>
                        <w:r>
                          <w:rPr>
                            <w:spacing w:val="19"/>
                            <w:w w:val="126"/>
                          </w:rPr>
                          <w:t xml:space="preserve"> </w:t>
                        </w:r>
                        <w:r>
                          <w:rPr>
                            <w:w w:val="126"/>
                          </w:rPr>
                          <w:t xml:space="preserve">and</w:t>
                        </w:r>
                        <w:r>
                          <w:rPr>
                            <w:spacing w:val="19"/>
                            <w:w w:val="126"/>
                          </w:rPr>
                          <w:t xml:space="preserve"> </w:t>
                        </w:r>
                      </w:p>
                    </w:txbxContent>
                  </v:textbox>
                </v:rect>
                <v:rect id="Rectangle 8745" style="position:absolute;width:38317;height:2064;left:1524;top:6187;" filled="f" stroked="f">
                  <v:textbox inset="0,0,0,0">
                    <w:txbxContent>
                      <w:p>
                        <w:pPr>
                          <w:spacing w:before="0" w:after="160" w:line="259" w:lineRule="auto"/>
                          <w:ind w:left="0" w:firstLine="0"/>
                        </w:pPr>
                        <w:r>
                          <w:rPr>
                            <w:w w:val="127"/>
                          </w:rPr>
                          <w:t xml:space="preserve">Collegio</w:t>
                        </w:r>
                        <w:r>
                          <w:rPr>
                            <w:spacing w:val="19"/>
                            <w:w w:val="127"/>
                          </w:rPr>
                          <w:t xml:space="preserve"> </w:t>
                        </w:r>
                        <w:r>
                          <w:rPr>
                            <w:w w:val="127"/>
                          </w:rPr>
                          <w:t xml:space="preserve">Carlo</w:t>
                        </w:r>
                        <w:r>
                          <w:rPr>
                            <w:spacing w:val="19"/>
                            <w:w w:val="127"/>
                          </w:rPr>
                          <w:t xml:space="preserve"> </w:t>
                        </w:r>
                        <w:r>
                          <w:rPr>
                            <w:w w:val="127"/>
                          </w:rPr>
                          <w:t xml:space="preserve">Alberto</w:t>
                        </w:r>
                        <w:r>
                          <w:rPr>
                            <w:spacing w:val="19"/>
                            <w:w w:val="127"/>
                          </w:rPr>
                          <w:t xml:space="preserve"> </w:t>
                        </w:r>
                        <w:r>
                          <w:rPr>
                            <w:w w:val="127"/>
                          </w:rPr>
                          <w:t xml:space="preserve">Fellow,</w:t>
                        </w:r>
                        <w:r>
                          <w:rPr>
                            <w:spacing w:val="19"/>
                            <w:w w:val="127"/>
                          </w:rPr>
                          <w:t xml:space="preserve"> </w:t>
                        </w:r>
                        <w:r>
                          <w:rPr>
                            <w:w w:val="127"/>
                          </w:rPr>
                          <w:t xml:space="preserve">Torino,</w:t>
                        </w:r>
                        <w:r>
                          <w:rPr>
                            <w:spacing w:val="19"/>
                            <w:w w:val="127"/>
                          </w:rPr>
                          <w:t xml:space="preserve"> </w:t>
                        </w:r>
                        <w:r>
                          <w:rPr>
                            <w:w w:val="127"/>
                          </w:rPr>
                          <w:t xml:space="preserve">Italy</w:t>
                        </w:r>
                      </w:p>
                    </w:txbxContent>
                  </v:textbox>
                </v:rect>
              </v:group>
            </w:pict>
          </mc:Fallback>
        </mc:AlternateContent>
      </w:r>
    </w:p>
    <w:sectPr w:rsidR="00441B30">
      <w:headerReference w:type="even" r:id="rId23"/>
      <w:headerReference w:type="default" r:id="rId24"/>
      <w:footerReference w:type="even" r:id="rId25"/>
      <w:footerReference w:type="default" r:id="rId26"/>
      <w:headerReference w:type="first" r:id="rId27"/>
      <w:footerReference w:type="first" r:id="rId28"/>
      <w:pgSz w:w="11906" w:h="16838"/>
      <w:pgMar w:top="1134" w:right="1135" w:bottom="1756" w:left="1134" w:header="576"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6797" w:rsidRDefault="00C96797">
      <w:pPr>
        <w:spacing w:after="0" w:line="240" w:lineRule="auto"/>
      </w:pPr>
      <w:r>
        <w:separator/>
      </w:r>
    </w:p>
  </w:endnote>
  <w:endnote w:type="continuationSeparator" w:id="0">
    <w:p w:rsidR="00C96797" w:rsidRDefault="00C9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1B30" w:rsidRDefault="00C96797">
    <w:pPr>
      <w:spacing w:after="110" w:line="259" w:lineRule="auto"/>
      <w:ind w:left="0" w:firstLine="0"/>
    </w:pPr>
    <w:r>
      <w:rPr>
        <w:rFonts w:cs="Calibri"/>
        <w:noProof/>
        <w:sz w:val="22"/>
      </w:rPr>
      <mc:AlternateContent>
        <mc:Choice Requires="wpg">
          <w:drawing>
            <wp:anchor distT="0" distB="0" distL="114300" distR="114300" simplePos="0" relativeHeight="251661312" behindDoc="0" locked="0" layoutInCell="1" allowOverlap="1">
              <wp:simplePos x="0" y="0"/>
              <wp:positionH relativeFrom="page">
                <wp:posOffset>719963</wp:posOffset>
              </wp:positionH>
              <wp:positionV relativeFrom="page">
                <wp:posOffset>9611992</wp:posOffset>
              </wp:positionV>
              <wp:extent cx="6120003" cy="9525"/>
              <wp:effectExtent l="0" t="0" r="0" b="0"/>
              <wp:wrapSquare wrapText="bothSides"/>
              <wp:docPr id="53789" name="Group 53789"/>
              <wp:cNvGraphicFramePr/>
              <a:graphic xmlns:a="http://schemas.openxmlformats.org/drawingml/2006/main">
                <a:graphicData uri="http://schemas.microsoft.com/office/word/2010/wordprocessingGroup">
                  <wpg:wgp>
                    <wpg:cNvGrpSpPr/>
                    <wpg:grpSpPr>
                      <a:xfrm>
                        <a:off x="0" y="0"/>
                        <a:ext cx="6120003" cy="9525"/>
                        <a:chOff x="0" y="0"/>
                        <a:chExt cx="6120003" cy="9525"/>
                      </a:xfrm>
                    </wpg:grpSpPr>
                    <wps:wsp>
                      <wps:cNvPr id="53790" name="Shape 53790"/>
                      <wps:cNvSpPr/>
                      <wps:spPr>
                        <a:xfrm>
                          <a:off x="0" y="0"/>
                          <a:ext cx="6120003" cy="9525"/>
                        </a:xfrm>
                        <a:custGeom>
                          <a:avLst/>
                          <a:gdLst/>
                          <a:ahLst/>
                          <a:cxnLst/>
                          <a:rect l="0" t="0" r="0" b="0"/>
                          <a:pathLst>
                            <a:path w="6120003" h="9525">
                              <a:moveTo>
                                <a:pt x="0" y="0"/>
                              </a:moveTo>
                              <a:cubicBezTo>
                                <a:pt x="0" y="0"/>
                                <a:pt x="0" y="0"/>
                                <a:pt x="6120003" y="0"/>
                              </a:cubicBezTo>
                              <a:cubicBezTo>
                                <a:pt x="6120003" y="0"/>
                                <a:pt x="6120003" y="0"/>
                                <a:pt x="6120003" y="9525"/>
                              </a:cubicBezTo>
                              <a:cubicBezTo>
                                <a:pt x="6120003" y="9525"/>
                                <a:pt x="6120003" y="9525"/>
                                <a:pt x="0" y="9525"/>
                              </a:cubicBezTo>
                              <a:cubicBezTo>
                                <a:pt x="0" y="9525"/>
                                <a:pt x="0" y="9525"/>
                                <a:pt x="0"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789" style="width:481.89pt;height:0.75pt;position:absolute;mso-position-horizontal-relative:page;mso-position-horizontal:absolute;margin-left:56.69pt;mso-position-vertical-relative:page;margin-top:756.85pt;" coordsize="61200,95">
              <v:shape id="Shape 53790" style="position:absolute;width:61200;height:95;left:0;top:0;" coordsize="6120003,9525" path="m0,0c0,0,0,0,6120003,0c6120003,0,6120003,0,6120003,9525c6120003,9525,6120003,9525,0,9525c0,9525,0,9525,0,0x">
                <v:stroke weight="0pt" endcap="square" joinstyle="miter" miterlimit="10" on="false" color="#000000" opacity="0"/>
                <v:fill on="true" color="#000000"/>
              </v:shape>
              <w10:wrap type="square"/>
            </v:group>
          </w:pict>
        </mc:Fallback>
      </mc:AlternateContent>
    </w:r>
    <w:r>
      <w:rPr>
        <w:color w:val="333333"/>
        <w:sz w:val="12"/>
      </w:rPr>
      <w:t>Page</w:t>
    </w:r>
    <w:r>
      <w:rPr>
        <w:rFonts w:cs="Calibri"/>
        <w:color w:val="333333"/>
        <w:sz w:val="12"/>
      </w:rPr>
      <w:t xml:space="preserve"> </w:t>
    </w:r>
    <w:r>
      <w:fldChar w:fldCharType="begin"/>
    </w:r>
    <w:r>
      <w:instrText xml:space="preserve"> PAGE   \* MERGEFORMAT </w:instrText>
    </w:r>
    <w:r>
      <w:fldChar w:fldCharType="separate"/>
    </w:r>
    <w:r>
      <w:rPr>
        <w:color w:val="333333"/>
        <w:sz w:val="12"/>
      </w:rPr>
      <w:t>1</w:t>
    </w:r>
    <w:r>
      <w:rPr>
        <w:color w:val="333333"/>
        <w:sz w:val="12"/>
      </w:rPr>
      <w:fldChar w:fldCharType="end"/>
    </w:r>
    <w:r>
      <w:rPr>
        <w:rFonts w:cs="Calibri"/>
        <w:color w:val="333333"/>
        <w:sz w:val="12"/>
      </w:rPr>
      <w:t xml:space="preserve"> </w:t>
    </w:r>
    <w:r>
      <w:rPr>
        <w:color w:val="333333"/>
        <w:sz w:val="12"/>
      </w:rPr>
      <w:t>of</w:t>
    </w:r>
    <w:r>
      <w:rPr>
        <w:rFonts w:cs="Calibri"/>
        <w:color w:val="333333"/>
        <w:sz w:val="12"/>
      </w:rPr>
      <w:t xml:space="preserve"> </w:t>
    </w:r>
    <w:r>
      <w:fldChar w:fldCharType="begin"/>
    </w:r>
    <w:r>
      <w:instrText xml:space="preserve"> NUMPAGES   \* MERGEFORMAT </w:instrText>
    </w:r>
    <w:r>
      <w:fldChar w:fldCharType="separate"/>
    </w:r>
    <w:r>
      <w:rPr>
        <w:color w:val="333333"/>
        <w:sz w:val="12"/>
      </w:rPr>
      <w:t>40</w:t>
    </w:r>
    <w:r>
      <w:rPr>
        <w:color w:val="333333"/>
        <w:sz w:val="12"/>
      </w:rPr>
      <w:fldChar w:fldCharType="end"/>
    </w:r>
  </w:p>
  <w:p w:rsidR="00441B30" w:rsidRDefault="00C96797">
    <w:pPr>
      <w:spacing w:after="146" w:line="247" w:lineRule="auto"/>
      <w:ind w:left="0" w:firstLine="0"/>
    </w:pPr>
    <w:r>
      <w:rPr>
        <w:sz w:val="15"/>
      </w:rPr>
      <w:t>PRINTED FROM OXFORD HANDBOOKS ONLINE (www.oxfordhandbooks.com).</w:t>
    </w:r>
    <w:r>
      <w:rPr>
        <w:rFonts w:cs="Calibri"/>
        <w:sz w:val="15"/>
      </w:rPr>
      <w:t xml:space="preserve"> </w:t>
    </w:r>
    <w:r>
      <w:rPr>
        <w:sz w:val="15"/>
      </w:rPr>
      <w:t>©</w:t>
    </w:r>
    <w:r>
      <w:rPr>
        <w:rFonts w:cs="Calibri"/>
        <w:sz w:val="15"/>
      </w:rPr>
      <w:t xml:space="preserve"> </w:t>
    </w:r>
    <w:r>
      <w:rPr>
        <w:sz w:val="15"/>
      </w:rPr>
      <w:t>Oxford University Press, 2018. All Rights Reserved. Under the terms of the licence agreement, an individual user may print out a PDF of a single chapter of a title in Oxford Handbooks Online for personal use (for details see</w:t>
    </w:r>
    <w:r>
      <w:rPr>
        <w:rFonts w:cs="Calibri"/>
        <w:sz w:val="15"/>
      </w:rPr>
      <w:t xml:space="preserve"> </w:t>
    </w:r>
    <w:r>
      <w:rPr>
        <w:sz w:val="15"/>
      </w:rPr>
      <w:t>Privacy Policy</w:t>
    </w:r>
    <w:r>
      <w:rPr>
        <w:rFonts w:cs="Calibri"/>
        <w:sz w:val="15"/>
      </w:rPr>
      <w:t xml:space="preserve"> </w:t>
    </w:r>
    <w:r>
      <w:rPr>
        <w:sz w:val="15"/>
      </w:rPr>
      <w:t>and</w:t>
    </w:r>
    <w:r>
      <w:rPr>
        <w:rFonts w:cs="Calibri"/>
        <w:sz w:val="15"/>
      </w:rPr>
      <w:t xml:space="preserve"> </w:t>
    </w:r>
    <w:r>
      <w:rPr>
        <w:sz w:val="15"/>
      </w:rPr>
      <w:t>Legal Notice</w:t>
    </w:r>
    <w:r>
      <w:rPr>
        <w:sz w:val="15"/>
      </w:rPr>
      <w:t>).</w:t>
    </w:r>
  </w:p>
  <w:p w:rsidR="00441B30" w:rsidRDefault="00C96797">
    <w:pPr>
      <w:spacing w:after="0" w:line="259" w:lineRule="auto"/>
      <w:ind w:left="0" w:firstLine="0"/>
    </w:pPr>
    <w:r>
      <w:rPr>
        <w:sz w:val="15"/>
      </w:rPr>
      <w:t>Subscriber: York University; date: 21 June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1B30" w:rsidRDefault="00C96797">
    <w:pPr>
      <w:spacing w:after="110" w:line="259" w:lineRule="auto"/>
      <w:ind w:left="0" w:firstLine="0"/>
    </w:pPr>
    <w:r>
      <w:rPr>
        <w:rFonts w:cs="Calibri"/>
        <w:noProof/>
        <w:sz w:val="22"/>
      </w:rPr>
      <mc:AlternateContent>
        <mc:Choice Requires="wpg">
          <w:drawing>
            <wp:anchor distT="0" distB="0" distL="114300" distR="114300" simplePos="0" relativeHeight="251662336" behindDoc="0" locked="0" layoutInCell="1" allowOverlap="1">
              <wp:simplePos x="0" y="0"/>
              <wp:positionH relativeFrom="page">
                <wp:posOffset>719963</wp:posOffset>
              </wp:positionH>
              <wp:positionV relativeFrom="page">
                <wp:posOffset>9611992</wp:posOffset>
              </wp:positionV>
              <wp:extent cx="6120003" cy="9525"/>
              <wp:effectExtent l="0" t="0" r="0" b="0"/>
              <wp:wrapSquare wrapText="bothSides"/>
              <wp:docPr id="53744" name="Group 53744"/>
              <wp:cNvGraphicFramePr/>
              <a:graphic xmlns:a="http://schemas.openxmlformats.org/drawingml/2006/main">
                <a:graphicData uri="http://schemas.microsoft.com/office/word/2010/wordprocessingGroup">
                  <wpg:wgp>
                    <wpg:cNvGrpSpPr/>
                    <wpg:grpSpPr>
                      <a:xfrm>
                        <a:off x="0" y="0"/>
                        <a:ext cx="6120003" cy="9525"/>
                        <a:chOff x="0" y="0"/>
                        <a:chExt cx="6120003" cy="9525"/>
                      </a:xfrm>
                    </wpg:grpSpPr>
                    <wps:wsp>
                      <wps:cNvPr id="53745" name="Shape 53745"/>
                      <wps:cNvSpPr/>
                      <wps:spPr>
                        <a:xfrm>
                          <a:off x="0" y="0"/>
                          <a:ext cx="6120003" cy="9525"/>
                        </a:xfrm>
                        <a:custGeom>
                          <a:avLst/>
                          <a:gdLst/>
                          <a:ahLst/>
                          <a:cxnLst/>
                          <a:rect l="0" t="0" r="0" b="0"/>
                          <a:pathLst>
                            <a:path w="6120003" h="9525">
                              <a:moveTo>
                                <a:pt x="0" y="0"/>
                              </a:moveTo>
                              <a:cubicBezTo>
                                <a:pt x="0" y="0"/>
                                <a:pt x="0" y="0"/>
                                <a:pt x="6120003" y="0"/>
                              </a:cubicBezTo>
                              <a:cubicBezTo>
                                <a:pt x="6120003" y="0"/>
                                <a:pt x="6120003" y="0"/>
                                <a:pt x="6120003" y="9525"/>
                              </a:cubicBezTo>
                              <a:cubicBezTo>
                                <a:pt x="6120003" y="9525"/>
                                <a:pt x="6120003" y="9525"/>
                                <a:pt x="0" y="9525"/>
                              </a:cubicBezTo>
                              <a:cubicBezTo>
                                <a:pt x="0" y="9525"/>
                                <a:pt x="0" y="9525"/>
                                <a:pt x="0"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744" style="width:481.89pt;height:0.75pt;position:absolute;mso-position-horizontal-relative:page;mso-position-horizontal:absolute;margin-left:56.69pt;mso-position-vertical-relative:page;margin-top:756.85pt;" coordsize="61200,95">
              <v:shape id="Shape 53745" style="position:absolute;width:61200;height:95;left:0;top:0;" coordsize="6120003,9525" path="m0,0c0,0,0,0,6120003,0c6120003,0,6120003,0,6120003,9525c6120003,9525,6120003,9525,0,9525c0,9525,0,9525,0,0x">
                <v:stroke weight="0pt" endcap="square" joinstyle="miter" miterlimit="10" on="false" color="#000000" opacity="0"/>
                <v:fill on="true" color="#000000"/>
              </v:shape>
              <w10:wrap type="square"/>
            </v:group>
          </w:pict>
        </mc:Fallback>
      </mc:AlternateContent>
    </w:r>
    <w:r>
      <w:rPr>
        <w:color w:val="333333"/>
        <w:sz w:val="12"/>
      </w:rPr>
      <w:t>Page</w:t>
    </w:r>
    <w:r>
      <w:rPr>
        <w:rFonts w:cs="Calibri"/>
        <w:color w:val="333333"/>
        <w:sz w:val="12"/>
      </w:rPr>
      <w:t xml:space="preserve"> </w:t>
    </w:r>
    <w:r>
      <w:fldChar w:fldCharType="begin"/>
    </w:r>
    <w:r>
      <w:instrText xml:space="preserve"> PAGE   \* MERGEFORMAT </w:instrText>
    </w:r>
    <w:r>
      <w:fldChar w:fldCharType="separate"/>
    </w:r>
    <w:r>
      <w:rPr>
        <w:color w:val="333333"/>
        <w:sz w:val="12"/>
      </w:rPr>
      <w:t>1</w:t>
    </w:r>
    <w:r>
      <w:rPr>
        <w:color w:val="333333"/>
        <w:sz w:val="12"/>
      </w:rPr>
      <w:fldChar w:fldCharType="end"/>
    </w:r>
    <w:r>
      <w:rPr>
        <w:rFonts w:cs="Calibri"/>
        <w:color w:val="333333"/>
        <w:sz w:val="12"/>
      </w:rPr>
      <w:t xml:space="preserve"> </w:t>
    </w:r>
    <w:r>
      <w:rPr>
        <w:color w:val="333333"/>
        <w:sz w:val="12"/>
      </w:rPr>
      <w:t>of</w:t>
    </w:r>
    <w:r>
      <w:rPr>
        <w:rFonts w:cs="Calibri"/>
        <w:color w:val="333333"/>
        <w:sz w:val="12"/>
      </w:rPr>
      <w:t xml:space="preserve"> </w:t>
    </w:r>
    <w:r>
      <w:fldChar w:fldCharType="begin"/>
    </w:r>
    <w:r>
      <w:instrText xml:space="preserve"> NUMPAGES   \* MERGEFORMAT </w:instrText>
    </w:r>
    <w:r>
      <w:fldChar w:fldCharType="separate"/>
    </w:r>
    <w:r>
      <w:rPr>
        <w:color w:val="333333"/>
        <w:sz w:val="12"/>
      </w:rPr>
      <w:t>40</w:t>
    </w:r>
    <w:r>
      <w:rPr>
        <w:color w:val="333333"/>
        <w:sz w:val="12"/>
      </w:rPr>
      <w:fldChar w:fldCharType="end"/>
    </w:r>
  </w:p>
  <w:p w:rsidR="00441B30" w:rsidRDefault="00C96797">
    <w:pPr>
      <w:spacing w:after="146" w:line="247" w:lineRule="auto"/>
      <w:ind w:left="0" w:firstLine="0"/>
    </w:pPr>
    <w:r>
      <w:rPr>
        <w:sz w:val="15"/>
      </w:rPr>
      <w:t>PRINTED FROM OXFORD HANDBOOKS ONLINE (www.oxfordhandbooks.com).</w:t>
    </w:r>
    <w:r>
      <w:rPr>
        <w:rFonts w:cs="Calibri"/>
        <w:sz w:val="15"/>
      </w:rPr>
      <w:t xml:space="preserve"> </w:t>
    </w:r>
    <w:r>
      <w:rPr>
        <w:sz w:val="15"/>
      </w:rPr>
      <w:t>©</w:t>
    </w:r>
    <w:r>
      <w:rPr>
        <w:rFonts w:cs="Calibri"/>
        <w:sz w:val="15"/>
      </w:rPr>
      <w:t xml:space="preserve"> </w:t>
    </w:r>
    <w:r>
      <w:rPr>
        <w:sz w:val="15"/>
      </w:rPr>
      <w:t xml:space="preserve">Oxford University Press, 2018. All Rights Reserved. Under the terms </w:t>
    </w:r>
    <w:r>
      <w:rPr>
        <w:sz w:val="15"/>
      </w:rPr>
      <w:t>of the licence agreement, an individual user may print out a PDF of a single chapter of a title in Oxford Handbooks Online for personal use (for details see</w:t>
    </w:r>
    <w:r>
      <w:rPr>
        <w:rFonts w:cs="Calibri"/>
        <w:sz w:val="15"/>
      </w:rPr>
      <w:t xml:space="preserve"> </w:t>
    </w:r>
    <w:r>
      <w:rPr>
        <w:sz w:val="15"/>
      </w:rPr>
      <w:t>Privacy Policy</w:t>
    </w:r>
    <w:r>
      <w:rPr>
        <w:rFonts w:cs="Calibri"/>
        <w:sz w:val="15"/>
      </w:rPr>
      <w:t xml:space="preserve"> </w:t>
    </w:r>
    <w:r>
      <w:rPr>
        <w:sz w:val="15"/>
      </w:rPr>
      <w:t>and</w:t>
    </w:r>
    <w:r>
      <w:rPr>
        <w:rFonts w:cs="Calibri"/>
        <w:sz w:val="15"/>
      </w:rPr>
      <w:t xml:space="preserve"> </w:t>
    </w:r>
    <w:r>
      <w:rPr>
        <w:sz w:val="15"/>
      </w:rPr>
      <w:t>Legal Notice).</w:t>
    </w:r>
  </w:p>
  <w:p w:rsidR="00441B30" w:rsidRDefault="00C96797">
    <w:pPr>
      <w:spacing w:after="0" w:line="259" w:lineRule="auto"/>
      <w:ind w:left="0" w:firstLine="0"/>
    </w:pPr>
    <w:r>
      <w:rPr>
        <w:sz w:val="15"/>
      </w:rPr>
      <w:t>Subscriber: York University; date: 21 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1B30" w:rsidRDefault="00C96797">
    <w:pPr>
      <w:spacing w:after="110" w:line="259" w:lineRule="auto"/>
      <w:ind w:left="0" w:firstLine="0"/>
    </w:pPr>
    <w:r>
      <w:rPr>
        <w:rFonts w:cs="Calibri"/>
        <w:noProof/>
        <w:sz w:val="22"/>
      </w:rPr>
      <mc:AlternateContent>
        <mc:Choice Requires="wpg">
          <w:drawing>
            <wp:anchor distT="0" distB="0" distL="114300" distR="114300" simplePos="0" relativeHeight="251663360" behindDoc="0" locked="0" layoutInCell="1" allowOverlap="1">
              <wp:simplePos x="0" y="0"/>
              <wp:positionH relativeFrom="page">
                <wp:posOffset>719963</wp:posOffset>
              </wp:positionH>
              <wp:positionV relativeFrom="page">
                <wp:posOffset>9611992</wp:posOffset>
              </wp:positionV>
              <wp:extent cx="6120003" cy="9525"/>
              <wp:effectExtent l="0" t="0" r="0" b="0"/>
              <wp:wrapSquare wrapText="bothSides"/>
              <wp:docPr id="53699" name="Group 53699"/>
              <wp:cNvGraphicFramePr/>
              <a:graphic xmlns:a="http://schemas.openxmlformats.org/drawingml/2006/main">
                <a:graphicData uri="http://schemas.microsoft.com/office/word/2010/wordprocessingGroup">
                  <wpg:wgp>
                    <wpg:cNvGrpSpPr/>
                    <wpg:grpSpPr>
                      <a:xfrm>
                        <a:off x="0" y="0"/>
                        <a:ext cx="6120003" cy="9525"/>
                        <a:chOff x="0" y="0"/>
                        <a:chExt cx="6120003" cy="9525"/>
                      </a:xfrm>
                    </wpg:grpSpPr>
                    <wps:wsp>
                      <wps:cNvPr id="53700" name="Shape 53700"/>
                      <wps:cNvSpPr/>
                      <wps:spPr>
                        <a:xfrm>
                          <a:off x="0" y="0"/>
                          <a:ext cx="6120003" cy="9525"/>
                        </a:xfrm>
                        <a:custGeom>
                          <a:avLst/>
                          <a:gdLst/>
                          <a:ahLst/>
                          <a:cxnLst/>
                          <a:rect l="0" t="0" r="0" b="0"/>
                          <a:pathLst>
                            <a:path w="6120003" h="9525">
                              <a:moveTo>
                                <a:pt x="0" y="0"/>
                              </a:moveTo>
                              <a:cubicBezTo>
                                <a:pt x="0" y="0"/>
                                <a:pt x="0" y="0"/>
                                <a:pt x="6120003" y="0"/>
                              </a:cubicBezTo>
                              <a:cubicBezTo>
                                <a:pt x="6120003" y="0"/>
                                <a:pt x="6120003" y="0"/>
                                <a:pt x="6120003" y="9525"/>
                              </a:cubicBezTo>
                              <a:cubicBezTo>
                                <a:pt x="6120003" y="9525"/>
                                <a:pt x="6120003" y="9525"/>
                                <a:pt x="0" y="9525"/>
                              </a:cubicBezTo>
                              <a:cubicBezTo>
                                <a:pt x="0" y="9525"/>
                                <a:pt x="0" y="9525"/>
                                <a:pt x="0"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699" style="width:481.89pt;height:0.75pt;position:absolute;mso-position-horizontal-relative:page;mso-position-horizontal:absolute;margin-left:56.69pt;mso-position-vertical-relative:page;margin-top:756.85pt;" coordsize="61200,95">
              <v:shape id="Shape 53700" style="position:absolute;width:61200;height:95;left:0;top:0;" coordsize="6120003,9525" path="m0,0c0,0,0,0,6120003,0c6120003,0,6120003,0,6120003,9525c6120003,9525,6120003,9525,0,9525c0,9525,0,9525,0,0x">
                <v:stroke weight="0pt" endcap="square" joinstyle="miter" miterlimit="10" on="false" color="#000000" opacity="0"/>
                <v:fill on="true" color="#000000"/>
              </v:shape>
              <w10:wrap type="square"/>
            </v:group>
          </w:pict>
        </mc:Fallback>
      </mc:AlternateContent>
    </w:r>
    <w:r>
      <w:rPr>
        <w:color w:val="333333"/>
        <w:sz w:val="12"/>
      </w:rPr>
      <w:t>Page</w:t>
    </w:r>
    <w:r>
      <w:rPr>
        <w:rFonts w:cs="Calibri"/>
        <w:color w:val="333333"/>
        <w:sz w:val="12"/>
      </w:rPr>
      <w:t xml:space="preserve"> </w:t>
    </w:r>
    <w:r>
      <w:fldChar w:fldCharType="begin"/>
    </w:r>
    <w:r>
      <w:instrText xml:space="preserve"> PAGE   </w:instrText>
    </w:r>
    <w:r>
      <w:instrText xml:space="preserve">\* MERGEFORMAT </w:instrText>
    </w:r>
    <w:r>
      <w:fldChar w:fldCharType="separate"/>
    </w:r>
    <w:r>
      <w:rPr>
        <w:color w:val="333333"/>
        <w:sz w:val="12"/>
      </w:rPr>
      <w:t>1</w:t>
    </w:r>
    <w:r>
      <w:rPr>
        <w:color w:val="333333"/>
        <w:sz w:val="12"/>
      </w:rPr>
      <w:fldChar w:fldCharType="end"/>
    </w:r>
    <w:r>
      <w:rPr>
        <w:rFonts w:cs="Calibri"/>
        <w:color w:val="333333"/>
        <w:sz w:val="12"/>
      </w:rPr>
      <w:t xml:space="preserve"> </w:t>
    </w:r>
    <w:r>
      <w:rPr>
        <w:color w:val="333333"/>
        <w:sz w:val="12"/>
      </w:rPr>
      <w:t>of</w:t>
    </w:r>
    <w:r>
      <w:rPr>
        <w:rFonts w:cs="Calibri"/>
        <w:color w:val="333333"/>
        <w:sz w:val="12"/>
      </w:rPr>
      <w:t xml:space="preserve"> </w:t>
    </w:r>
    <w:r>
      <w:fldChar w:fldCharType="begin"/>
    </w:r>
    <w:r>
      <w:instrText xml:space="preserve"> NUMPAGES   \* MERGEFORMAT </w:instrText>
    </w:r>
    <w:r>
      <w:fldChar w:fldCharType="separate"/>
    </w:r>
    <w:r>
      <w:rPr>
        <w:color w:val="333333"/>
        <w:sz w:val="12"/>
      </w:rPr>
      <w:t>40</w:t>
    </w:r>
    <w:r>
      <w:rPr>
        <w:color w:val="333333"/>
        <w:sz w:val="12"/>
      </w:rPr>
      <w:fldChar w:fldCharType="end"/>
    </w:r>
  </w:p>
  <w:p w:rsidR="00441B30" w:rsidRDefault="00C96797">
    <w:pPr>
      <w:spacing w:after="146" w:line="247" w:lineRule="auto"/>
      <w:ind w:left="0" w:firstLine="0"/>
    </w:pPr>
    <w:r>
      <w:rPr>
        <w:sz w:val="15"/>
      </w:rPr>
      <w:t>PRINTED FROM OXFORD HANDBOOKS ONLINE (www.oxfordhandbooks.com).</w:t>
    </w:r>
    <w:r>
      <w:rPr>
        <w:rFonts w:cs="Calibri"/>
        <w:sz w:val="15"/>
      </w:rPr>
      <w:t xml:space="preserve"> </w:t>
    </w:r>
    <w:r>
      <w:rPr>
        <w:sz w:val="15"/>
      </w:rPr>
      <w:t>©</w:t>
    </w:r>
    <w:r>
      <w:rPr>
        <w:rFonts w:cs="Calibri"/>
        <w:sz w:val="15"/>
      </w:rPr>
      <w:t xml:space="preserve"> </w:t>
    </w:r>
    <w:r>
      <w:rPr>
        <w:sz w:val="15"/>
      </w:rPr>
      <w:t xml:space="preserve">Oxford University Press, 2018. All Rights Reserved. Under the terms of the licence agreement, an individual user may print out a PDF of </w:t>
    </w:r>
    <w:r>
      <w:rPr>
        <w:sz w:val="15"/>
      </w:rPr>
      <w:t>a single chapter of a title in Oxford Handbooks Online for personal use (for details see</w:t>
    </w:r>
    <w:r>
      <w:rPr>
        <w:rFonts w:cs="Calibri"/>
        <w:sz w:val="15"/>
      </w:rPr>
      <w:t xml:space="preserve"> </w:t>
    </w:r>
    <w:r>
      <w:rPr>
        <w:sz w:val="15"/>
      </w:rPr>
      <w:t>Privacy Policy</w:t>
    </w:r>
    <w:r>
      <w:rPr>
        <w:rFonts w:cs="Calibri"/>
        <w:sz w:val="15"/>
      </w:rPr>
      <w:t xml:space="preserve"> </w:t>
    </w:r>
    <w:r>
      <w:rPr>
        <w:sz w:val="15"/>
      </w:rPr>
      <w:t>and</w:t>
    </w:r>
    <w:r>
      <w:rPr>
        <w:rFonts w:cs="Calibri"/>
        <w:sz w:val="15"/>
      </w:rPr>
      <w:t xml:space="preserve"> </w:t>
    </w:r>
    <w:r>
      <w:rPr>
        <w:sz w:val="15"/>
      </w:rPr>
      <w:t>Legal Notice).</w:t>
    </w:r>
  </w:p>
  <w:p w:rsidR="00441B30" w:rsidRDefault="00C96797">
    <w:pPr>
      <w:spacing w:after="0" w:line="259" w:lineRule="auto"/>
      <w:ind w:left="0" w:firstLine="0"/>
    </w:pPr>
    <w:r>
      <w:rPr>
        <w:sz w:val="15"/>
      </w:rPr>
      <w:t>Subscriber: York University; date: 21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6797" w:rsidRDefault="00C96797">
      <w:pPr>
        <w:spacing w:after="0" w:line="240" w:lineRule="auto"/>
      </w:pPr>
      <w:r>
        <w:separator/>
      </w:r>
    </w:p>
  </w:footnote>
  <w:footnote w:type="continuationSeparator" w:id="0">
    <w:p w:rsidR="00C96797" w:rsidRDefault="00C96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1B30" w:rsidRDefault="00C96797">
    <w:pPr>
      <w:spacing w:after="0" w:line="259" w:lineRule="auto"/>
      <w:ind w:left="0" w:firstLine="0"/>
    </w:pPr>
    <w:r>
      <w:rPr>
        <w:rFonts w:cs="Calibri"/>
        <w:noProof/>
        <w:sz w:val="22"/>
      </w:rPr>
      <mc:AlternateContent>
        <mc:Choice Requires="wpg">
          <w:drawing>
            <wp:anchor distT="0" distB="0" distL="114300" distR="114300" simplePos="0" relativeHeight="251658240" behindDoc="0" locked="0" layoutInCell="1" allowOverlap="1">
              <wp:simplePos x="0" y="0"/>
              <wp:positionH relativeFrom="page">
                <wp:posOffset>719963</wp:posOffset>
              </wp:positionH>
              <wp:positionV relativeFrom="page">
                <wp:posOffset>710435</wp:posOffset>
              </wp:positionV>
              <wp:extent cx="6120003" cy="9525"/>
              <wp:effectExtent l="0" t="0" r="0" b="0"/>
              <wp:wrapSquare wrapText="bothSides"/>
              <wp:docPr id="53775" name="Group 53775"/>
              <wp:cNvGraphicFramePr/>
              <a:graphic xmlns:a="http://schemas.openxmlformats.org/drawingml/2006/main">
                <a:graphicData uri="http://schemas.microsoft.com/office/word/2010/wordprocessingGroup">
                  <wpg:wgp>
                    <wpg:cNvGrpSpPr/>
                    <wpg:grpSpPr>
                      <a:xfrm>
                        <a:off x="0" y="0"/>
                        <a:ext cx="6120003" cy="9525"/>
                        <a:chOff x="0" y="0"/>
                        <a:chExt cx="6120003" cy="9525"/>
                      </a:xfrm>
                    </wpg:grpSpPr>
                    <wps:wsp>
                      <wps:cNvPr id="53776" name="Shape 53776"/>
                      <wps:cNvSpPr/>
                      <wps:spPr>
                        <a:xfrm>
                          <a:off x="0" y="0"/>
                          <a:ext cx="6120003" cy="9525"/>
                        </a:xfrm>
                        <a:custGeom>
                          <a:avLst/>
                          <a:gdLst/>
                          <a:ahLst/>
                          <a:cxnLst/>
                          <a:rect l="0" t="0" r="0" b="0"/>
                          <a:pathLst>
                            <a:path w="6120003" h="9525">
                              <a:moveTo>
                                <a:pt x="0" y="0"/>
                              </a:moveTo>
                              <a:cubicBezTo>
                                <a:pt x="0" y="0"/>
                                <a:pt x="0" y="0"/>
                                <a:pt x="6120003" y="0"/>
                              </a:cubicBezTo>
                              <a:cubicBezTo>
                                <a:pt x="6120003" y="0"/>
                                <a:pt x="6120003" y="0"/>
                                <a:pt x="6120003" y="9525"/>
                              </a:cubicBezTo>
                              <a:cubicBezTo>
                                <a:pt x="6120003" y="9525"/>
                                <a:pt x="6120003" y="9525"/>
                                <a:pt x="0" y="9525"/>
                              </a:cubicBezTo>
                              <a:cubicBezTo>
                                <a:pt x="0" y="9525"/>
                                <a:pt x="0" y="9525"/>
                                <a:pt x="0"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775" style="width:481.89pt;height:0.75pt;position:absolute;mso-position-horizontal-relative:page;mso-position-horizontal:absolute;margin-left:56.69pt;mso-position-vertical-relative:page;margin-top:55.9398pt;" coordsize="61200,95">
              <v:shape id="Shape 53776" style="position:absolute;width:61200;height:95;left:0;top:0;" coordsize="6120003,9525" path="m0,0c0,0,0,0,6120003,0c6120003,0,6120003,0,6120003,9525c6120003,9525,6120003,9525,0,9525c0,9525,0,9525,0,0x">
                <v:stroke weight="0pt" endcap="square" joinstyle="miter" miterlimit="10" on="false" color="#000000" opacity="0"/>
                <v:fill on="true" color="#000000"/>
              </v:shape>
              <w10:wrap type="square"/>
            </v:group>
          </w:pict>
        </mc:Fallback>
      </mc:AlternateContent>
    </w:r>
    <w:r>
      <w:rPr>
        <w:rFonts w:cs="Calibri"/>
        <w:sz w:val="23"/>
      </w:rPr>
      <w:t>Comparative Law, Transplants, and Receptions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1B30" w:rsidRDefault="00C96797">
    <w:pPr>
      <w:spacing w:after="0" w:line="259" w:lineRule="auto"/>
      <w:ind w:left="0" w:firstLine="0"/>
    </w:pPr>
    <w:r>
      <w:rPr>
        <w:rFonts w:cs="Calibri"/>
        <w:noProof/>
        <w:sz w:val="22"/>
      </w:rPr>
      <mc:AlternateContent>
        <mc:Choice Requires="wpg">
          <w:drawing>
            <wp:anchor distT="0" distB="0" distL="114300" distR="114300" simplePos="0" relativeHeight="251659264" behindDoc="0" locked="0" layoutInCell="1" allowOverlap="1">
              <wp:simplePos x="0" y="0"/>
              <wp:positionH relativeFrom="page">
                <wp:posOffset>719963</wp:posOffset>
              </wp:positionH>
              <wp:positionV relativeFrom="page">
                <wp:posOffset>710435</wp:posOffset>
              </wp:positionV>
              <wp:extent cx="6120003" cy="9525"/>
              <wp:effectExtent l="0" t="0" r="0" b="0"/>
              <wp:wrapSquare wrapText="bothSides"/>
              <wp:docPr id="53730" name="Group 53730"/>
              <wp:cNvGraphicFramePr/>
              <a:graphic xmlns:a="http://schemas.openxmlformats.org/drawingml/2006/main">
                <a:graphicData uri="http://schemas.microsoft.com/office/word/2010/wordprocessingGroup">
                  <wpg:wgp>
                    <wpg:cNvGrpSpPr/>
                    <wpg:grpSpPr>
                      <a:xfrm>
                        <a:off x="0" y="0"/>
                        <a:ext cx="6120003" cy="9525"/>
                        <a:chOff x="0" y="0"/>
                        <a:chExt cx="6120003" cy="9525"/>
                      </a:xfrm>
                    </wpg:grpSpPr>
                    <wps:wsp>
                      <wps:cNvPr id="53731" name="Shape 53731"/>
                      <wps:cNvSpPr/>
                      <wps:spPr>
                        <a:xfrm>
                          <a:off x="0" y="0"/>
                          <a:ext cx="6120003" cy="9525"/>
                        </a:xfrm>
                        <a:custGeom>
                          <a:avLst/>
                          <a:gdLst/>
                          <a:ahLst/>
                          <a:cxnLst/>
                          <a:rect l="0" t="0" r="0" b="0"/>
                          <a:pathLst>
                            <a:path w="6120003" h="9525">
                              <a:moveTo>
                                <a:pt x="0" y="0"/>
                              </a:moveTo>
                              <a:cubicBezTo>
                                <a:pt x="0" y="0"/>
                                <a:pt x="0" y="0"/>
                                <a:pt x="6120003" y="0"/>
                              </a:cubicBezTo>
                              <a:cubicBezTo>
                                <a:pt x="6120003" y="0"/>
                                <a:pt x="6120003" y="0"/>
                                <a:pt x="6120003" y="9525"/>
                              </a:cubicBezTo>
                              <a:cubicBezTo>
                                <a:pt x="6120003" y="9525"/>
                                <a:pt x="6120003" y="9525"/>
                                <a:pt x="0" y="9525"/>
                              </a:cubicBezTo>
                              <a:cubicBezTo>
                                <a:pt x="0" y="9525"/>
                                <a:pt x="0" y="9525"/>
                                <a:pt x="0"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730" style="width:481.89pt;height:0.75pt;position:absolute;mso-position-horizontal-relative:page;mso-position-horizontal:absolute;margin-left:56.69pt;mso-position-vertical-relative:page;margin-top:55.9398pt;" coordsize="61200,95">
              <v:shape id="Shape 53731" style="position:absolute;width:61200;height:95;left:0;top:0;" coordsize="6120003,9525" path="m0,0c0,0,0,0,6120003,0c6120003,0,6120003,0,6120003,9525c6120003,9525,6120003,9525,0,9525c0,9525,0,9525,0,0x">
                <v:stroke weight="0pt" endcap="square" joinstyle="miter" miterlimit="10" on="false" color="#000000" opacity="0"/>
                <v:fill on="true" color="#000000"/>
              </v:shape>
              <w10:wrap type="square"/>
            </v:group>
          </w:pict>
        </mc:Fallback>
      </mc:AlternateContent>
    </w:r>
    <w:r>
      <w:rPr>
        <w:rFonts w:cs="Calibri"/>
        <w:sz w:val="23"/>
      </w:rPr>
      <w:t>Comparative Law, Transplants, and Receptions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1B30" w:rsidRDefault="00C96797">
    <w:pPr>
      <w:spacing w:after="0" w:line="259" w:lineRule="auto"/>
      <w:ind w:left="0" w:firstLine="0"/>
    </w:pPr>
    <w:r>
      <w:rPr>
        <w:rFonts w:cs="Calibri"/>
        <w:noProof/>
        <w:sz w:val="22"/>
      </w:rPr>
      <mc:AlternateContent>
        <mc:Choice Requires="wpg">
          <w:drawing>
            <wp:anchor distT="0" distB="0" distL="114300" distR="114300" simplePos="0" relativeHeight="251660288" behindDoc="0" locked="0" layoutInCell="1" allowOverlap="1">
              <wp:simplePos x="0" y="0"/>
              <wp:positionH relativeFrom="page">
                <wp:posOffset>719963</wp:posOffset>
              </wp:positionH>
              <wp:positionV relativeFrom="page">
                <wp:posOffset>710435</wp:posOffset>
              </wp:positionV>
              <wp:extent cx="6120003" cy="9525"/>
              <wp:effectExtent l="0" t="0" r="0" b="0"/>
              <wp:wrapSquare wrapText="bothSides"/>
              <wp:docPr id="53685" name="Group 53685"/>
              <wp:cNvGraphicFramePr/>
              <a:graphic xmlns:a="http://schemas.openxmlformats.org/drawingml/2006/main">
                <a:graphicData uri="http://schemas.microsoft.com/office/word/2010/wordprocessingGroup">
                  <wpg:wgp>
                    <wpg:cNvGrpSpPr/>
                    <wpg:grpSpPr>
                      <a:xfrm>
                        <a:off x="0" y="0"/>
                        <a:ext cx="6120003" cy="9525"/>
                        <a:chOff x="0" y="0"/>
                        <a:chExt cx="6120003" cy="9525"/>
                      </a:xfrm>
                    </wpg:grpSpPr>
                    <wps:wsp>
                      <wps:cNvPr id="53686" name="Shape 53686"/>
                      <wps:cNvSpPr/>
                      <wps:spPr>
                        <a:xfrm>
                          <a:off x="0" y="0"/>
                          <a:ext cx="6120003" cy="9525"/>
                        </a:xfrm>
                        <a:custGeom>
                          <a:avLst/>
                          <a:gdLst/>
                          <a:ahLst/>
                          <a:cxnLst/>
                          <a:rect l="0" t="0" r="0" b="0"/>
                          <a:pathLst>
                            <a:path w="6120003" h="9525">
                              <a:moveTo>
                                <a:pt x="0" y="0"/>
                              </a:moveTo>
                              <a:cubicBezTo>
                                <a:pt x="0" y="0"/>
                                <a:pt x="0" y="0"/>
                                <a:pt x="6120003" y="0"/>
                              </a:cubicBezTo>
                              <a:cubicBezTo>
                                <a:pt x="6120003" y="0"/>
                                <a:pt x="6120003" y="0"/>
                                <a:pt x="6120003" y="9525"/>
                              </a:cubicBezTo>
                              <a:cubicBezTo>
                                <a:pt x="6120003" y="9525"/>
                                <a:pt x="6120003" y="9525"/>
                                <a:pt x="0" y="9525"/>
                              </a:cubicBezTo>
                              <a:cubicBezTo>
                                <a:pt x="0" y="9525"/>
                                <a:pt x="0" y="9525"/>
                                <a:pt x="0"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685" style="width:481.89pt;height:0.75pt;position:absolute;mso-position-horizontal-relative:page;mso-position-horizontal:absolute;margin-left:56.69pt;mso-position-vertical-relative:page;margin-top:55.9398pt;" coordsize="61200,95">
              <v:shape id="Shape 53686" style="position:absolute;width:61200;height:95;left:0;top:0;" coordsize="6120003,9525" path="m0,0c0,0,0,0,6120003,0c6120003,0,6120003,0,6120003,9525c6120003,9525,6120003,9525,0,9525c0,9525,0,9525,0,0x">
                <v:stroke weight="0pt" endcap="square" joinstyle="miter" miterlimit="10" on="false" color="#000000" opacity="0"/>
                <v:fill on="true" color="#000000"/>
              </v:shape>
              <w10:wrap type="square"/>
            </v:group>
          </w:pict>
        </mc:Fallback>
      </mc:AlternateContent>
    </w:r>
    <w:r>
      <w:rPr>
        <w:rFonts w:cs="Calibri"/>
        <w:sz w:val="23"/>
      </w:rPr>
      <w:t>Comparativ</w:t>
    </w:r>
    <w:r>
      <w:rPr>
        <w:rFonts w:cs="Calibri"/>
        <w:sz w:val="23"/>
      </w:rPr>
      <w:t>e Law, Transplants, and Receptions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D56FA"/>
    <w:multiLevelType w:val="hybridMultilevel"/>
    <w:tmpl w:val="DCFC7344"/>
    <w:lvl w:ilvl="0" w:tplc="822C52B8">
      <w:start w:val="89"/>
      <w:numFmt w:val="decimal"/>
      <w:lvlText w:val="(%1)"/>
      <w:lvlJc w:val="left"/>
      <w:pPr>
        <w:ind w:left="5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26ED68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3642F7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560783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A6EE4A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3669E7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02E5C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27AA5C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8CE990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A240205"/>
    <w:multiLevelType w:val="hybridMultilevel"/>
    <w:tmpl w:val="6F44EB80"/>
    <w:lvl w:ilvl="0" w:tplc="54548B5C">
      <w:start w:val="1"/>
      <w:numFmt w:val="upperRoman"/>
      <w:lvlText w:val="%1."/>
      <w:lvlJc w:val="left"/>
      <w:pPr>
        <w:ind w:left="8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65E4EB4">
      <w:start w:val="1"/>
      <w:numFmt w:val="decimal"/>
      <w:lvlText w:val="%2."/>
      <w:lvlJc w:val="left"/>
      <w:pPr>
        <w:ind w:left="8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A4C9DF0">
      <w:start w:val="1"/>
      <w:numFmt w:val="lowerRoman"/>
      <w:lvlText w:val="%3"/>
      <w:lvlJc w:val="left"/>
      <w:pPr>
        <w:ind w:left="1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95039E8">
      <w:start w:val="1"/>
      <w:numFmt w:val="decimal"/>
      <w:lvlText w:val="%4"/>
      <w:lvlJc w:val="left"/>
      <w:pPr>
        <w:ind w:left="2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0F8910A">
      <w:start w:val="1"/>
      <w:numFmt w:val="lowerLetter"/>
      <w:lvlText w:val="%5"/>
      <w:lvlJc w:val="left"/>
      <w:pPr>
        <w:ind w:left="3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80C7CE0">
      <w:start w:val="1"/>
      <w:numFmt w:val="lowerRoman"/>
      <w:lvlText w:val="%6"/>
      <w:lvlJc w:val="left"/>
      <w:pPr>
        <w:ind w:left="38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45E1DF2">
      <w:start w:val="1"/>
      <w:numFmt w:val="decimal"/>
      <w:lvlText w:val="%7"/>
      <w:lvlJc w:val="left"/>
      <w:pPr>
        <w:ind w:left="45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AEE2172">
      <w:start w:val="1"/>
      <w:numFmt w:val="lowerLetter"/>
      <w:lvlText w:val="%8"/>
      <w:lvlJc w:val="left"/>
      <w:pPr>
        <w:ind w:left="52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A540FE2">
      <w:start w:val="1"/>
      <w:numFmt w:val="lowerRoman"/>
      <w:lvlText w:val="%9"/>
      <w:lvlJc w:val="left"/>
      <w:pPr>
        <w:ind w:left="60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E991AA7"/>
    <w:multiLevelType w:val="hybridMultilevel"/>
    <w:tmpl w:val="7CA41160"/>
    <w:lvl w:ilvl="0" w:tplc="D48CB7BE">
      <w:start w:val="2"/>
      <w:numFmt w:val="decimal"/>
      <w:lvlText w:val="(%1)"/>
      <w:lvlJc w:val="left"/>
      <w:pPr>
        <w:ind w:left="4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BCA7FF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564AEA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992FE8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F78D6A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DB80BA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48AEB5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36C550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CAC18A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30"/>
    <w:rsid w:val="00441B30"/>
    <w:rsid w:val="00C134D3"/>
    <w:rsid w:val="00C967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C15C4DF2-FEAB-0247-978D-7495513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305" w:lineRule="auto"/>
      <w:ind w:left="10" w:hanging="10"/>
    </w:pPr>
    <w:rPr>
      <w:rFonts w:ascii="Calibri" w:eastAsia="Calibri" w:hAnsi="Calibri" w:cs="Times New Roman"/>
      <w:color w:val="000000"/>
      <w:sz w:val="21"/>
      <w:lang w:val="en" w:eastAsia="en"/>
    </w:rPr>
  </w:style>
  <w:style w:type="paragraph" w:styleId="Heading1">
    <w:name w:val="heading 1"/>
    <w:next w:val="Normal"/>
    <w:link w:val="Heading1Char"/>
    <w:uiPriority w:val="9"/>
    <w:qFormat/>
    <w:pPr>
      <w:keepNext/>
      <w:keepLines/>
      <w:spacing w:after="36" w:line="260" w:lineRule="auto"/>
      <w:ind w:left="145" w:hanging="10"/>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208" w:line="256" w:lineRule="auto"/>
      <w:ind w:left="10" w:hanging="10"/>
      <w:outlineLvl w:val="1"/>
    </w:pPr>
    <w:rPr>
      <w:rFonts w:ascii="Calibri" w:eastAsia="Calibri" w:hAnsi="Calibri" w:cs="Calibri"/>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5"/>
    </w:rPr>
  </w:style>
  <w:style w:type="character" w:customStyle="1" w:styleId="Heading1Char">
    <w:name w:val="Heading 1 Char"/>
    <w:link w:val="Heading1"/>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oxfordhandbooks.com/search?f_0=keyword&amp;q_0=legal%20transplants,%20legal%20translation" TargetMode="External"/><Relationship Id="rId18" Type="http://schemas.openxmlformats.org/officeDocument/2006/relationships/hyperlink" Target="https://www.oxfordhandbooks.com/search?f_0=keyword&amp;q_0=professional%20elit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oxfordhandbooks.com/view/10.1093/oxfordhb/9780198810230.001.0001/oxfordhb-9780198810230-e-21" TargetMode="External"/><Relationship Id="rId7" Type="http://schemas.openxmlformats.org/officeDocument/2006/relationships/image" Target="media/image1.png"/><Relationship Id="rId12" Type="http://schemas.openxmlformats.org/officeDocument/2006/relationships/hyperlink" Target="https://www.oxfordhandbooks.com/search?f_0=keyword&amp;q_0=legal%20transplants,%20legal%20translation" TargetMode="External"/><Relationship Id="rId17" Type="http://schemas.openxmlformats.org/officeDocument/2006/relationships/hyperlink" Target="https://www.oxfordhandbooks.com/search?f_0=keyword&amp;q_0=prestig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xfordhandbooks.com/search?f_0=keyword&amp;q_0=mediated%20action" TargetMode="External"/><Relationship Id="rId20" Type="http://schemas.openxmlformats.org/officeDocument/2006/relationships/hyperlink" Target="https://www.oxfordhandbooks.com/view/10.1093/oxfordhb/9780198810230.001.0001/oxfordhb-9780198810230-e-2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handbooks.com/search?f_0=keyword&amp;q_0=global%20governance,%20legal%20transfer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oxfordhandbooks.com/search?f_0=keyword&amp;q_0=mediated%20ac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oxfordhandbooks.com/search?f_0=keyword&amp;q_0=global%20governance,%20legal%20transfers" TargetMode="External"/><Relationship Id="rId19" Type="http://schemas.openxmlformats.org/officeDocument/2006/relationships/hyperlink" Target="http://www.isaidatlawreview.org/" TargetMode="External"/><Relationship Id="rId4" Type="http://schemas.openxmlformats.org/officeDocument/2006/relationships/webSettings" Target="webSettings.xml"/><Relationship Id="rId9" Type="http://schemas.openxmlformats.org/officeDocument/2006/relationships/hyperlink" Target="https://www.oxfordhandbooks.com/view/10.1093/oxfordhb/9780198810230.001.0001/oxfordhb-9780198810230" TargetMode="External"/><Relationship Id="rId14" Type="http://schemas.openxmlformats.org/officeDocument/2006/relationships/hyperlink" Target="https://www.oxfordhandbooks.com/search?f_0=keyword&amp;q_0=legal%20transfers" TargetMode="External"/><Relationship Id="rId22" Type="http://schemas.openxmlformats.org/officeDocument/2006/relationships/hyperlink" Target="http://www.ejcl.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17775</Words>
  <Characters>101320</Characters>
  <Application>Microsoft Office Word</Application>
  <DocSecurity>0</DocSecurity>
  <Lines>844</Lines>
  <Paragraphs>237</Paragraphs>
  <ScaleCrop>false</ScaleCrop>
  <Company/>
  <LinksUpToDate>false</LinksUpToDate>
  <CharactersWithSpaces>118858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Law, Transplants, and Receptions - Oxford Handbooks</dc:title>
  <dc:subject>The comparative study of transplants and receptions investigates the patterns of change triggered by contacts among laws and legal cultures. The study of legal transfers offers considerable intellectual rewards. It shows that the law is a complex phenomenon and corrects simplistic views regarding what law is and how it develops. Furthermore, it highlights how the language of the law is transformed as a consequence of such a dynamic through translations and adaptations. The spread of legal institutions, ideals, ideologies, doctrines, rules, and so on, is often in the hands of professional elites. The study of transplants and receptions demonstrates that the knowledge and standing of those elites comes from interactions between the local and non-local dimensions of the law. This picture is true in Berlin, in New York, in London, and in Lima, but it is also true in less cosmopolitan environments. The study of legal transplants has sometimes been accused of embracing a conservative orientation. Yet, this study simply subjects the law’s pretensions concerning its origins and ends to critical analysis. Doing so is not inconsistent with advancing progressive goals at all; in fact, it may be vital to a progressive agenda.</dc:subject>
  <dc:creator>Victoria Reznik</dc:creator>
  <cp:keywords/>
  <cp:lastModifiedBy>Victoria Reznik</cp:lastModifiedBy>
  <cp:revision>2</cp:revision>
  <dcterms:created xsi:type="dcterms:W3CDTF">2021-07-14T17:08:00Z</dcterms:created>
  <dcterms:modified xsi:type="dcterms:W3CDTF">2021-07-14T17:08:00Z</dcterms:modified>
</cp:coreProperties>
</file>