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79CF" w:rsidRDefault="00CD28B5">
      <w:pPr>
        <w:spacing w:after="29" w:line="259" w:lineRule="auto"/>
        <w:ind w:left="98" w:firstLine="0"/>
        <w:jc w:val="center"/>
      </w:pPr>
      <w:r>
        <w:rPr>
          <w:rFonts w:ascii="Calibri" w:eastAsia="Calibri" w:hAnsi="Calibri" w:cs="Calibri"/>
          <w:sz w:val="38"/>
        </w:rPr>
        <w:t>        </w:t>
      </w:r>
    </w:p>
    <w:p w:rsidR="007479CF" w:rsidRDefault="00CD28B5">
      <w:pPr>
        <w:spacing w:after="380" w:line="265" w:lineRule="auto"/>
        <w:ind w:left="30" w:hanging="10"/>
        <w:jc w:val="center"/>
      </w:pPr>
      <w:r>
        <w:rPr>
          <w:sz w:val="18"/>
        </w:rPr>
        <w:t>..................................................................................................................................</w:t>
      </w:r>
    </w:p>
    <w:p w:rsidR="007479CF" w:rsidRDefault="00CD28B5">
      <w:pPr>
        <w:spacing w:after="0" w:line="269" w:lineRule="auto"/>
        <w:ind w:firstLine="0"/>
        <w:jc w:val="center"/>
      </w:pPr>
      <w:r>
        <w:rPr>
          <w:b/>
          <w:sz w:val="54"/>
        </w:rPr>
        <w:t>THE FUNCTIONAL METHOD OF COMPARATIVE LAW</w:t>
      </w:r>
    </w:p>
    <w:p w:rsidR="007479CF" w:rsidRDefault="00CD28B5">
      <w:pPr>
        <w:spacing w:after="596" w:line="265" w:lineRule="auto"/>
        <w:ind w:left="30" w:hanging="10"/>
        <w:jc w:val="center"/>
      </w:pPr>
      <w:r>
        <w:rPr>
          <w:sz w:val="18"/>
        </w:rPr>
        <w:t>....................................................................................</w:t>
      </w:r>
      <w:r>
        <w:rPr>
          <w:sz w:val="18"/>
        </w:rPr>
        <w:t>..............................................</w:t>
      </w:r>
    </w:p>
    <w:p w:rsidR="007479CF" w:rsidRDefault="00CD28B5">
      <w:pPr>
        <w:spacing w:after="0" w:line="259" w:lineRule="auto"/>
        <w:ind w:right="4" w:firstLine="0"/>
        <w:jc w:val="center"/>
      </w:pPr>
      <w:r>
        <w:rPr>
          <w:rFonts w:ascii="Calibri" w:eastAsia="Calibri" w:hAnsi="Calibri" w:cs="Calibri"/>
          <w:sz w:val="42"/>
        </w:rPr>
        <w:t> </w:t>
      </w:r>
    </w:p>
    <w:p w:rsidR="007479CF" w:rsidRDefault="00CD28B5">
      <w:pPr>
        <w:spacing w:after="814" w:line="259" w:lineRule="auto"/>
        <w:ind w:right="4" w:firstLine="0"/>
        <w:jc w:val="center"/>
      </w:pPr>
      <w:r>
        <w:rPr>
          <w:i/>
          <w:sz w:val="28"/>
        </w:rPr>
        <w:t>Durham, North Carolina</w:t>
      </w:r>
      <w:r>
        <w:rPr>
          <w:sz w:val="28"/>
        </w:rPr>
        <w:t>*</w:t>
      </w:r>
    </w:p>
    <w:p w:rsidR="007479CF" w:rsidRDefault="00CD28B5">
      <w:pPr>
        <w:spacing w:after="127" w:line="259" w:lineRule="auto"/>
        <w:ind w:left="720" w:firstLine="0"/>
        <w:jc w:val="left"/>
      </w:pPr>
      <w:r>
        <w:rPr>
          <w:rFonts w:ascii="Calibri" w:eastAsia="Calibri" w:hAnsi="Calibri" w:cs="Calibri"/>
          <w:noProof/>
        </w:rPr>
        <mc:AlternateContent>
          <mc:Choice Requires="wpg">
            <w:drawing>
              <wp:inline distT="0" distB="0" distL="0" distR="0">
                <wp:extent cx="3581400" cy="3810"/>
                <wp:effectExtent l="0" t="0" r="0" b="0"/>
                <wp:docPr id="56254" name="Group 56254"/>
                <wp:cNvGraphicFramePr/>
                <a:graphic xmlns:a="http://schemas.openxmlformats.org/drawingml/2006/main">
                  <a:graphicData uri="http://schemas.microsoft.com/office/word/2010/wordprocessingGroup">
                    <wpg:wgp>
                      <wpg:cNvGrpSpPr/>
                      <wpg:grpSpPr>
                        <a:xfrm>
                          <a:off x="0" y="0"/>
                          <a:ext cx="3581400" cy="3810"/>
                          <a:chOff x="0" y="0"/>
                          <a:chExt cx="3581400" cy="3810"/>
                        </a:xfrm>
                      </wpg:grpSpPr>
                      <wps:wsp>
                        <wps:cNvPr id="273" name="Shape 273"/>
                        <wps:cNvSpPr/>
                        <wps:spPr>
                          <a:xfrm>
                            <a:off x="0" y="0"/>
                            <a:ext cx="3581400" cy="0"/>
                          </a:xfrm>
                          <a:custGeom>
                            <a:avLst/>
                            <a:gdLst/>
                            <a:ahLst/>
                            <a:cxnLst/>
                            <a:rect l="0" t="0" r="0" b="0"/>
                            <a:pathLst>
                              <a:path w="3581400">
                                <a:moveTo>
                                  <a:pt x="0" y="0"/>
                                </a:moveTo>
                                <a:lnTo>
                                  <a:pt x="3581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254" style="width:282pt;height:0.3pt;mso-position-horizontal-relative:char;mso-position-vertical-relative:line" coordsize="35814,38">
                <v:shape id="Shape 273" style="position:absolute;width:35814;height:0;left:0;top:0;" coordsize="3581400,0" path="m0,0l3581400,0">
                  <v:stroke weight="0.3pt" endcap="flat" joinstyle="miter" miterlimit="10" on="true" color="#000000"/>
                  <v:fill on="false" color="#000000" opacity="0"/>
                </v:shape>
              </v:group>
            </w:pict>
          </mc:Fallback>
        </mc:AlternateContent>
      </w:r>
    </w:p>
    <w:tbl>
      <w:tblPr>
        <w:tblStyle w:val="TableGrid"/>
        <w:tblW w:w="5534" w:type="dxa"/>
        <w:tblInd w:w="826" w:type="dxa"/>
        <w:tblCellMar>
          <w:top w:w="0" w:type="dxa"/>
          <w:left w:w="0" w:type="dxa"/>
          <w:bottom w:w="0" w:type="dxa"/>
          <w:right w:w="0" w:type="dxa"/>
        </w:tblCellMar>
        <w:tblLook w:val="04A0" w:firstRow="1" w:lastRow="0" w:firstColumn="1" w:lastColumn="0" w:noHBand="0" w:noVBand="1"/>
      </w:tblPr>
      <w:tblGrid>
        <w:gridCol w:w="5188"/>
        <w:gridCol w:w="346"/>
      </w:tblGrid>
      <w:tr w:rsidR="007479CF">
        <w:trPr>
          <w:trHeight w:val="253"/>
        </w:trPr>
        <w:tc>
          <w:tcPr>
            <w:tcW w:w="5260" w:type="dxa"/>
            <w:tcBorders>
              <w:top w:val="nil"/>
              <w:left w:val="nil"/>
              <w:bottom w:val="nil"/>
              <w:right w:val="nil"/>
            </w:tcBorders>
          </w:tcPr>
          <w:p w:rsidR="007479CF" w:rsidRDefault="00CD28B5">
            <w:pPr>
              <w:spacing w:after="0" w:line="259" w:lineRule="auto"/>
              <w:ind w:left="138" w:firstLine="0"/>
              <w:jc w:val="left"/>
            </w:pPr>
            <w:r>
              <w:rPr>
                <w:b/>
                <w:sz w:val="20"/>
              </w:rPr>
              <w:t>I. ‘The Functional Method’</w:t>
            </w:r>
          </w:p>
        </w:tc>
        <w:tc>
          <w:tcPr>
            <w:tcW w:w="274" w:type="dxa"/>
            <w:tcBorders>
              <w:top w:val="nil"/>
              <w:left w:val="nil"/>
              <w:bottom w:val="nil"/>
              <w:right w:val="nil"/>
            </w:tcBorders>
          </w:tcPr>
          <w:p w:rsidR="007479CF" w:rsidRDefault="00CD28B5">
            <w:pPr>
              <w:spacing w:after="0" w:line="259" w:lineRule="auto"/>
              <w:ind w:firstLine="0"/>
            </w:pPr>
            <w:r>
              <w:rPr>
                <w:rFonts w:ascii="Calibri" w:eastAsia="Calibri" w:hAnsi="Calibri" w:cs="Calibri"/>
                <w:b/>
                <w:sz w:val="20"/>
              </w:rPr>
              <w:t></w:t>
            </w:r>
          </w:p>
        </w:tc>
      </w:tr>
      <w:tr w:rsidR="007479CF">
        <w:trPr>
          <w:trHeight w:val="280"/>
        </w:trPr>
        <w:tc>
          <w:tcPr>
            <w:tcW w:w="5260" w:type="dxa"/>
            <w:tcBorders>
              <w:top w:val="nil"/>
              <w:left w:val="nil"/>
              <w:bottom w:val="nil"/>
              <w:right w:val="nil"/>
            </w:tcBorders>
          </w:tcPr>
          <w:p w:rsidR="007479CF" w:rsidRDefault="00CD28B5">
            <w:pPr>
              <w:spacing w:after="0" w:line="259" w:lineRule="auto"/>
              <w:ind w:left="69" w:firstLine="0"/>
              <w:jc w:val="left"/>
            </w:pPr>
            <w:r>
              <w:rPr>
                <w:b/>
                <w:sz w:val="20"/>
              </w:rPr>
              <w:t>II. Concepts of Functionalism</w:t>
            </w:r>
          </w:p>
        </w:tc>
        <w:tc>
          <w:tcPr>
            <w:tcW w:w="274" w:type="dxa"/>
            <w:tcBorders>
              <w:top w:val="nil"/>
              <w:left w:val="nil"/>
              <w:bottom w:val="nil"/>
              <w:right w:val="nil"/>
            </w:tcBorders>
          </w:tcPr>
          <w:p w:rsidR="007479CF" w:rsidRDefault="00CD28B5">
            <w:pPr>
              <w:spacing w:after="0" w:line="259" w:lineRule="auto"/>
              <w:ind w:left="19" w:firstLine="0"/>
            </w:pPr>
            <w:r>
              <w:rPr>
                <w:rFonts w:ascii="Calibri" w:eastAsia="Calibri" w:hAnsi="Calibri" w:cs="Calibri"/>
                <w:b/>
                <w:sz w:val="20"/>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Finalism</w:t>
            </w:r>
          </w:p>
        </w:tc>
        <w:tc>
          <w:tcPr>
            <w:tcW w:w="274" w:type="dxa"/>
            <w:tcBorders>
              <w:top w:val="nil"/>
              <w:left w:val="nil"/>
              <w:bottom w:val="nil"/>
              <w:right w:val="nil"/>
            </w:tcBorders>
          </w:tcPr>
          <w:p w:rsidR="007479CF" w:rsidRDefault="00CD28B5">
            <w:pPr>
              <w:spacing w:after="0" w:line="259" w:lineRule="auto"/>
              <w:ind w:left="47" w:firstLine="0"/>
            </w:pPr>
            <w:r>
              <w:rPr>
                <w:rFonts w:ascii="Calibri" w:eastAsia="Calibri" w:hAnsi="Calibri" w:cs="Calibri"/>
                <w:sz w:val="18"/>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Adaptionism</w:t>
            </w:r>
          </w:p>
        </w:tc>
        <w:tc>
          <w:tcPr>
            <w:tcW w:w="274" w:type="dxa"/>
            <w:tcBorders>
              <w:top w:val="nil"/>
              <w:left w:val="nil"/>
              <w:bottom w:val="nil"/>
              <w:right w:val="nil"/>
            </w:tcBorders>
          </w:tcPr>
          <w:p w:rsidR="007479CF" w:rsidRDefault="00CD28B5">
            <w:pPr>
              <w:spacing w:after="0" w:line="259" w:lineRule="auto"/>
              <w:ind w:left="43" w:firstLine="0"/>
            </w:pPr>
            <w:r>
              <w:rPr>
                <w:rFonts w:ascii="Calibri" w:eastAsia="Calibri" w:hAnsi="Calibri" w:cs="Calibri"/>
                <w:sz w:val="18"/>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Classical Functionalism</w:t>
            </w:r>
          </w:p>
        </w:tc>
        <w:tc>
          <w:tcPr>
            <w:tcW w:w="274" w:type="dxa"/>
            <w:tcBorders>
              <w:top w:val="nil"/>
              <w:left w:val="nil"/>
              <w:bottom w:val="nil"/>
              <w:right w:val="nil"/>
            </w:tcBorders>
          </w:tcPr>
          <w:p w:rsidR="007479CF" w:rsidRDefault="00CD28B5">
            <w:pPr>
              <w:spacing w:after="0" w:line="259" w:lineRule="auto"/>
              <w:ind w:left="33" w:firstLine="0"/>
            </w:pPr>
            <w:r>
              <w:rPr>
                <w:rFonts w:ascii="Calibri" w:eastAsia="Calibri" w:hAnsi="Calibri" w:cs="Calibri"/>
                <w:sz w:val="18"/>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Instrumentalism</w:t>
            </w:r>
          </w:p>
        </w:tc>
        <w:tc>
          <w:tcPr>
            <w:tcW w:w="274" w:type="dxa"/>
            <w:tcBorders>
              <w:top w:val="nil"/>
              <w:left w:val="nil"/>
              <w:bottom w:val="nil"/>
              <w:right w:val="nil"/>
            </w:tcBorders>
          </w:tcPr>
          <w:p w:rsidR="007479CF" w:rsidRDefault="00CD28B5">
            <w:pPr>
              <w:spacing w:after="0" w:line="259" w:lineRule="auto"/>
              <w:ind w:left="72" w:firstLine="0"/>
              <w:jc w:val="left"/>
            </w:pPr>
            <w:r>
              <w:rPr>
                <w:rFonts w:ascii="Calibri" w:eastAsia="Calibri" w:hAnsi="Calibri" w:cs="Calibri"/>
                <w:sz w:val="18"/>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Re</w:t>
            </w:r>
            <w:r>
              <w:rPr>
                <w:rFonts w:ascii="Calibri" w:eastAsia="Calibri" w:hAnsi="Calibri" w:cs="Calibri"/>
                <w:sz w:val="18"/>
              </w:rPr>
              <w:t>fi</w:t>
            </w:r>
            <w:r>
              <w:rPr>
                <w:sz w:val="18"/>
              </w:rPr>
              <w:t>ned Functionalism</w:t>
            </w:r>
          </w:p>
        </w:tc>
        <w:tc>
          <w:tcPr>
            <w:tcW w:w="274" w:type="dxa"/>
            <w:tcBorders>
              <w:top w:val="nil"/>
              <w:left w:val="nil"/>
              <w:bottom w:val="nil"/>
              <w:right w:val="nil"/>
            </w:tcBorders>
          </w:tcPr>
          <w:p w:rsidR="007479CF" w:rsidRDefault="00CD28B5">
            <w:pPr>
              <w:spacing w:after="0" w:line="259" w:lineRule="auto"/>
              <w:ind w:left="53" w:firstLine="0"/>
            </w:pPr>
            <w:r>
              <w:rPr>
                <w:rFonts w:ascii="Calibri" w:eastAsia="Calibri" w:hAnsi="Calibri" w:cs="Calibri"/>
                <w:sz w:val="18"/>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Epistemological Functionalism</w:t>
            </w:r>
          </w:p>
        </w:tc>
        <w:tc>
          <w:tcPr>
            <w:tcW w:w="274" w:type="dxa"/>
            <w:tcBorders>
              <w:top w:val="nil"/>
              <w:left w:val="nil"/>
              <w:bottom w:val="nil"/>
              <w:right w:val="nil"/>
            </w:tcBorders>
          </w:tcPr>
          <w:p w:rsidR="007479CF" w:rsidRDefault="00CD28B5">
            <w:pPr>
              <w:spacing w:after="0" w:line="259" w:lineRule="auto"/>
              <w:ind w:left="60" w:firstLine="0"/>
            </w:pPr>
            <w:r>
              <w:rPr>
                <w:rFonts w:ascii="Calibri" w:eastAsia="Calibri" w:hAnsi="Calibri" w:cs="Calibri"/>
                <w:sz w:val="18"/>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Equivalence Functionalism</w:t>
            </w:r>
          </w:p>
        </w:tc>
        <w:tc>
          <w:tcPr>
            <w:tcW w:w="274" w:type="dxa"/>
            <w:tcBorders>
              <w:top w:val="nil"/>
              <w:left w:val="nil"/>
              <w:bottom w:val="nil"/>
              <w:right w:val="nil"/>
            </w:tcBorders>
          </w:tcPr>
          <w:p w:rsidR="007479CF" w:rsidRDefault="00CD28B5">
            <w:pPr>
              <w:spacing w:after="0" w:line="259" w:lineRule="auto"/>
              <w:ind w:left="45" w:firstLine="0"/>
            </w:pPr>
            <w:r>
              <w:rPr>
                <w:rFonts w:ascii="Calibri" w:eastAsia="Calibri" w:hAnsi="Calibri" w:cs="Calibri"/>
                <w:sz w:val="18"/>
              </w:rPr>
              <w:t></w:t>
            </w:r>
          </w:p>
        </w:tc>
      </w:tr>
      <w:tr w:rsidR="007479CF">
        <w:trPr>
          <w:trHeight w:val="26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Functionalist Comparative Law: Synthesis or Eclecticism?</w:t>
            </w:r>
          </w:p>
        </w:tc>
        <w:tc>
          <w:tcPr>
            <w:tcW w:w="274" w:type="dxa"/>
            <w:tcBorders>
              <w:top w:val="nil"/>
              <w:left w:val="nil"/>
              <w:bottom w:val="nil"/>
              <w:right w:val="nil"/>
            </w:tcBorders>
          </w:tcPr>
          <w:p w:rsidR="007479CF" w:rsidRDefault="00CD28B5">
            <w:pPr>
              <w:spacing w:after="0" w:line="259" w:lineRule="auto"/>
              <w:ind w:left="26" w:firstLine="0"/>
            </w:pPr>
            <w:r>
              <w:rPr>
                <w:rFonts w:ascii="Calibri" w:eastAsia="Calibri" w:hAnsi="Calibri" w:cs="Calibri"/>
                <w:sz w:val="18"/>
              </w:rPr>
              <w:t></w:t>
            </w:r>
          </w:p>
        </w:tc>
      </w:tr>
      <w:tr w:rsidR="007479CF">
        <w:trPr>
          <w:trHeight w:val="280"/>
        </w:trPr>
        <w:tc>
          <w:tcPr>
            <w:tcW w:w="5260" w:type="dxa"/>
            <w:tcBorders>
              <w:top w:val="nil"/>
              <w:left w:val="nil"/>
              <w:bottom w:val="nil"/>
              <w:right w:val="nil"/>
            </w:tcBorders>
          </w:tcPr>
          <w:p w:rsidR="007479CF" w:rsidRDefault="00CD28B5">
            <w:pPr>
              <w:spacing w:after="0" w:line="259" w:lineRule="auto"/>
              <w:ind w:firstLine="0"/>
              <w:jc w:val="left"/>
            </w:pPr>
            <w:r>
              <w:rPr>
                <w:b/>
                <w:sz w:val="20"/>
              </w:rPr>
              <w:t>III. Functions of Function</w:t>
            </w:r>
          </w:p>
        </w:tc>
        <w:tc>
          <w:tcPr>
            <w:tcW w:w="274" w:type="dxa"/>
            <w:tcBorders>
              <w:top w:val="nil"/>
              <w:left w:val="nil"/>
              <w:bottom w:val="nil"/>
              <w:right w:val="nil"/>
            </w:tcBorders>
          </w:tcPr>
          <w:p w:rsidR="007479CF" w:rsidRDefault="00CD28B5">
            <w:pPr>
              <w:spacing w:after="0" w:line="259" w:lineRule="auto"/>
              <w:ind w:left="16" w:firstLine="0"/>
            </w:pPr>
            <w:r>
              <w:rPr>
                <w:rFonts w:ascii="Calibri" w:eastAsia="Calibri" w:hAnsi="Calibri" w:cs="Calibri"/>
                <w:b/>
                <w:sz w:val="20"/>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The Epistemological Function: Understanding Law</w:t>
            </w:r>
          </w:p>
        </w:tc>
        <w:tc>
          <w:tcPr>
            <w:tcW w:w="274" w:type="dxa"/>
            <w:tcBorders>
              <w:top w:val="nil"/>
              <w:left w:val="nil"/>
              <w:bottom w:val="nil"/>
              <w:right w:val="nil"/>
            </w:tcBorders>
          </w:tcPr>
          <w:p w:rsidR="007479CF" w:rsidRDefault="00CD28B5">
            <w:pPr>
              <w:spacing w:after="0" w:line="259" w:lineRule="auto"/>
              <w:ind w:left="32" w:firstLine="0"/>
            </w:pPr>
            <w:r>
              <w:rPr>
                <w:rFonts w:ascii="Calibri" w:eastAsia="Calibri" w:hAnsi="Calibri" w:cs="Calibri"/>
                <w:sz w:val="18"/>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xml:space="preserve">. The Comparative Function: </w:t>
            </w:r>
            <w:r>
              <w:rPr>
                <w:i/>
                <w:sz w:val="18"/>
              </w:rPr>
              <w:t>Tertium Comparationis</w:t>
            </w:r>
          </w:p>
        </w:tc>
        <w:tc>
          <w:tcPr>
            <w:tcW w:w="274" w:type="dxa"/>
            <w:tcBorders>
              <w:top w:val="nil"/>
              <w:left w:val="nil"/>
              <w:bottom w:val="nil"/>
              <w:right w:val="nil"/>
            </w:tcBorders>
          </w:tcPr>
          <w:p w:rsidR="007479CF" w:rsidRDefault="00CD28B5">
            <w:pPr>
              <w:spacing w:after="0" w:line="259" w:lineRule="auto"/>
              <w:ind w:left="40" w:firstLine="0"/>
            </w:pPr>
            <w:r>
              <w:rPr>
                <w:rFonts w:ascii="Calibri" w:eastAsia="Calibri" w:hAnsi="Calibri" w:cs="Calibri"/>
                <w:sz w:val="18"/>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xml:space="preserve">. The Presumptive Function: </w:t>
            </w:r>
            <w:r>
              <w:rPr>
                <w:i/>
                <w:sz w:val="18"/>
              </w:rPr>
              <w:t>Praesumptio Similitudinis</w:t>
            </w:r>
          </w:p>
        </w:tc>
        <w:tc>
          <w:tcPr>
            <w:tcW w:w="274" w:type="dxa"/>
            <w:tcBorders>
              <w:top w:val="nil"/>
              <w:left w:val="nil"/>
              <w:bottom w:val="nil"/>
              <w:right w:val="nil"/>
            </w:tcBorders>
          </w:tcPr>
          <w:p w:rsidR="007479CF" w:rsidRDefault="00CD28B5">
            <w:pPr>
              <w:spacing w:after="0" w:line="259" w:lineRule="auto"/>
              <w:ind w:left="31" w:firstLine="0"/>
            </w:pPr>
            <w:r>
              <w:rPr>
                <w:rFonts w:ascii="Calibri" w:eastAsia="Calibri" w:hAnsi="Calibri" w:cs="Calibri"/>
                <w:sz w:val="18"/>
              </w:rPr>
              <w:t></w:t>
            </w:r>
          </w:p>
        </w:tc>
      </w:tr>
      <w:tr w:rsidR="007479CF">
        <w:trPr>
          <w:trHeight w:val="225"/>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The Systematizing Function: Building a System</w:t>
            </w:r>
          </w:p>
        </w:tc>
        <w:tc>
          <w:tcPr>
            <w:tcW w:w="274" w:type="dxa"/>
            <w:tcBorders>
              <w:top w:val="nil"/>
              <w:left w:val="nil"/>
              <w:bottom w:val="nil"/>
              <w:right w:val="nil"/>
            </w:tcBorders>
          </w:tcPr>
          <w:p w:rsidR="007479CF" w:rsidRDefault="00CD28B5">
            <w:pPr>
              <w:spacing w:after="0" w:line="259" w:lineRule="auto"/>
              <w:ind w:left="48" w:firstLine="0"/>
            </w:pPr>
            <w:r>
              <w:rPr>
                <w:rFonts w:ascii="Calibri" w:eastAsia="Calibri" w:hAnsi="Calibri" w:cs="Calibri"/>
                <w:sz w:val="18"/>
              </w:rPr>
              <w:t></w:t>
            </w:r>
          </w:p>
        </w:tc>
      </w:tr>
      <w:tr w:rsidR="007479CF">
        <w:trPr>
          <w:trHeight w:val="198"/>
        </w:trPr>
        <w:tc>
          <w:tcPr>
            <w:tcW w:w="5260" w:type="dxa"/>
            <w:tcBorders>
              <w:top w:val="nil"/>
              <w:left w:val="nil"/>
              <w:bottom w:val="nil"/>
              <w:right w:val="nil"/>
            </w:tcBorders>
          </w:tcPr>
          <w:p w:rsidR="007479CF" w:rsidRDefault="00CD28B5">
            <w:pPr>
              <w:spacing w:after="0" w:line="259" w:lineRule="auto"/>
              <w:ind w:left="354" w:firstLine="0"/>
              <w:jc w:val="left"/>
            </w:pPr>
            <w:r>
              <w:rPr>
                <w:rFonts w:ascii="Calibri" w:eastAsia="Calibri" w:hAnsi="Calibri" w:cs="Calibri"/>
                <w:sz w:val="18"/>
              </w:rPr>
              <w:t></w:t>
            </w:r>
            <w:r>
              <w:rPr>
                <w:sz w:val="18"/>
              </w:rPr>
              <w:t>. The Evaluative Function: Determining the Better Law</w:t>
            </w:r>
          </w:p>
        </w:tc>
        <w:tc>
          <w:tcPr>
            <w:tcW w:w="274" w:type="dxa"/>
            <w:tcBorders>
              <w:top w:val="nil"/>
              <w:left w:val="nil"/>
              <w:bottom w:val="nil"/>
              <w:right w:val="nil"/>
            </w:tcBorders>
          </w:tcPr>
          <w:p w:rsidR="007479CF" w:rsidRDefault="00CD28B5">
            <w:pPr>
              <w:spacing w:after="0" w:line="259" w:lineRule="auto"/>
              <w:ind w:left="55" w:firstLine="0"/>
            </w:pPr>
            <w:r>
              <w:rPr>
                <w:rFonts w:ascii="Calibri" w:eastAsia="Calibri" w:hAnsi="Calibri" w:cs="Calibri"/>
                <w:sz w:val="18"/>
              </w:rPr>
              <w:t></w:t>
            </w:r>
          </w:p>
        </w:tc>
      </w:tr>
    </w:tbl>
    <w:p w:rsidR="007479CF" w:rsidRDefault="00CD28B5">
      <w:pPr>
        <w:spacing w:after="4" w:line="248" w:lineRule="auto"/>
        <w:ind w:left="-15" w:firstLine="165"/>
      </w:pPr>
      <w:r>
        <w:rPr>
          <w:sz w:val="18"/>
        </w:rPr>
        <w:t xml:space="preserve">* This essay was </w:t>
      </w:r>
      <w:r>
        <w:rPr>
          <w:rFonts w:ascii="Calibri" w:eastAsia="Calibri" w:hAnsi="Calibri" w:cs="Calibri"/>
          <w:sz w:val="18"/>
        </w:rPr>
        <w:t>fi</w:t>
      </w:r>
      <w:r>
        <w:rPr>
          <w:sz w:val="18"/>
        </w:rPr>
        <w:t>nalized while I was a Lloyd Cutler Fellow at the American Academy in Berlin. Special thanks for comments to Donald Horowitz, Joan Magat, and the editors.</w:t>
      </w:r>
    </w:p>
    <w:p w:rsidR="007479CF" w:rsidRDefault="00CD28B5">
      <w:pPr>
        <w:pStyle w:val="Heading1"/>
        <w:spacing w:after="109" w:line="263" w:lineRule="auto"/>
        <w:ind w:left="-5" w:right="0"/>
        <w:jc w:val="left"/>
      </w:pPr>
      <w:r>
        <w:rPr>
          <w:rFonts w:ascii="Calibri" w:eastAsia="Calibri" w:hAnsi="Calibri" w:cs="Calibri"/>
          <w:b w:val="0"/>
          <w:sz w:val="22"/>
        </w:rPr>
        <w:t></w:t>
      </w:r>
    </w:p>
    <w:tbl>
      <w:tblPr>
        <w:tblStyle w:val="TableGrid"/>
        <w:tblW w:w="5504" w:type="dxa"/>
        <w:tblInd w:w="856" w:type="dxa"/>
        <w:tblCellMar>
          <w:top w:w="0" w:type="dxa"/>
          <w:left w:w="0" w:type="dxa"/>
          <w:bottom w:w="0" w:type="dxa"/>
          <w:right w:w="0" w:type="dxa"/>
        </w:tblCellMar>
        <w:tblLook w:val="04A0" w:firstRow="1" w:lastRow="0" w:firstColumn="1" w:lastColumn="0" w:noHBand="0" w:noVBand="1"/>
      </w:tblPr>
      <w:tblGrid>
        <w:gridCol w:w="5187"/>
        <w:gridCol w:w="317"/>
      </w:tblGrid>
      <w:tr w:rsidR="007479CF">
        <w:trPr>
          <w:trHeight w:val="198"/>
        </w:trPr>
        <w:tc>
          <w:tcPr>
            <w:tcW w:w="5233" w:type="dxa"/>
            <w:tcBorders>
              <w:top w:val="nil"/>
              <w:left w:val="nil"/>
              <w:bottom w:val="nil"/>
              <w:right w:val="nil"/>
            </w:tcBorders>
          </w:tcPr>
          <w:p w:rsidR="007479CF" w:rsidRDefault="00CD28B5">
            <w:pPr>
              <w:spacing w:after="0" w:line="259" w:lineRule="auto"/>
              <w:ind w:left="324" w:firstLine="0"/>
              <w:jc w:val="left"/>
            </w:pPr>
            <w:r>
              <w:rPr>
                <w:rFonts w:ascii="Calibri" w:eastAsia="Calibri" w:hAnsi="Calibri" w:cs="Calibri"/>
                <w:sz w:val="18"/>
              </w:rPr>
              <w:t></w:t>
            </w:r>
            <w:r>
              <w:rPr>
                <w:sz w:val="18"/>
              </w:rPr>
              <w:t>. The Universalizing Function: Unifying Law</w:t>
            </w:r>
          </w:p>
        </w:tc>
        <w:tc>
          <w:tcPr>
            <w:tcW w:w="271" w:type="dxa"/>
            <w:tcBorders>
              <w:top w:val="nil"/>
              <w:left w:val="nil"/>
              <w:bottom w:val="nil"/>
              <w:right w:val="nil"/>
            </w:tcBorders>
          </w:tcPr>
          <w:p w:rsidR="007479CF" w:rsidRDefault="00CD28B5">
            <w:pPr>
              <w:spacing w:after="0" w:line="259" w:lineRule="auto"/>
              <w:ind w:left="37" w:firstLine="0"/>
            </w:pPr>
            <w:r>
              <w:rPr>
                <w:rFonts w:ascii="Calibri" w:eastAsia="Calibri" w:hAnsi="Calibri" w:cs="Calibri"/>
                <w:sz w:val="18"/>
              </w:rPr>
              <w:t></w:t>
            </w:r>
          </w:p>
        </w:tc>
      </w:tr>
      <w:tr w:rsidR="007479CF">
        <w:trPr>
          <w:trHeight w:val="265"/>
        </w:trPr>
        <w:tc>
          <w:tcPr>
            <w:tcW w:w="5233" w:type="dxa"/>
            <w:tcBorders>
              <w:top w:val="nil"/>
              <w:left w:val="nil"/>
              <w:bottom w:val="nil"/>
              <w:right w:val="nil"/>
            </w:tcBorders>
          </w:tcPr>
          <w:p w:rsidR="007479CF" w:rsidRDefault="00CD28B5">
            <w:pPr>
              <w:spacing w:after="0" w:line="259" w:lineRule="auto"/>
              <w:ind w:left="324" w:firstLine="0"/>
              <w:jc w:val="left"/>
            </w:pPr>
            <w:r>
              <w:rPr>
                <w:rFonts w:ascii="Calibri" w:eastAsia="Calibri" w:hAnsi="Calibri" w:cs="Calibri"/>
                <w:sz w:val="18"/>
              </w:rPr>
              <w:t></w:t>
            </w:r>
            <w:r>
              <w:rPr>
                <w:sz w:val="18"/>
              </w:rPr>
              <w:t>. The Critical Function: Critique of Legal Orders</w:t>
            </w:r>
          </w:p>
        </w:tc>
        <w:tc>
          <w:tcPr>
            <w:tcW w:w="271" w:type="dxa"/>
            <w:tcBorders>
              <w:top w:val="nil"/>
              <w:left w:val="nil"/>
              <w:bottom w:val="nil"/>
              <w:right w:val="nil"/>
            </w:tcBorders>
          </w:tcPr>
          <w:p w:rsidR="007479CF" w:rsidRDefault="00CD28B5">
            <w:pPr>
              <w:spacing w:after="0" w:line="259" w:lineRule="auto"/>
              <w:ind w:left="43" w:firstLine="0"/>
            </w:pPr>
            <w:r>
              <w:rPr>
                <w:rFonts w:ascii="Calibri" w:eastAsia="Calibri" w:hAnsi="Calibri" w:cs="Calibri"/>
                <w:sz w:val="18"/>
              </w:rPr>
              <w:t></w:t>
            </w:r>
          </w:p>
        </w:tc>
      </w:tr>
      <w:tr w:rsidR="007479CF">
        <w:trPr>
          <w:trHeight w:val="252"/>
        </w:trPr>
        <w:tc>
          <w:tcPr>
            <w:tcW w:w="5233" w:type="dxa"/>
            <w:tcBorders>
              <w:top w:val="nil"/>
              <w:left w:val="nil"/>
              <w:bottom w:val="nil"/>
              <w:right w:val="nil"/>
            </w:tcBorders>
          </w:tcPr>
          <w:p w:rsidR="007479CF" w:rsidRDefault="00CD28B5">
            <w:pPr>
              <w:spacing w:after="0" w:line="259" w:lineRule="auto"/>
              <w:ind w:firstLine="0"/>
              <w:jc w:val="left"/>
            </w:pPr>
            <w:r>
              <w:rPr>
                <w:b/>
                <w:sz w:val="20"/>
              </w:rPr>
              <w:t>IV. Conclusion</w:t>
            </w:r>
          </w:p>
        </w:tc>
        <w:tc>
          <w:tcPr>
            <w:tcW w:w="271" w:type="dxa"/>
            <w:tcBorders>
              <w:top w:val="nil"/>
              <w:left w:val="nil"/>
              <w:bottom w:val="nil"/>
              <w:right w:val="nil"/>
            </w:tcBorders>
          </w:tcPr>
          <w:p w:rsidR="007479CF" w:rsidRDefault="00CD28B5">
            <w:pPr>
              <w:spacing w:after="0" w:line="259" w:lineRule="auto"/>
              <w:ind w:firstLine="0"/>
            </w:pPr>
            <w:r>
              <w:rPr>
                <w:rFonts w:ascii="Calibri" w:eastAsia="Calibri" w:hAnsi="Calibri" w:cs="Calibri"/>
                <w:b/>
                <w:sz w:val="20"/>
              </w:rPr>
              <w:t></w:t>
            </w:r>
          </w:p>
        </w:tc>
      </w:tr>
    </w:tbl>
    <w:p w:rsidR="007479CF" w:rsidRDefault="00CD28B5">
      <w:pPr>
        <w:pStyle w:val="Heading1"/>
      </w:pPr>
      <w:r>
        <w:lastRenderedPageBreak/>
        <w:t>I. ‘The Functional Method’</w:t>
      </w:r>
    </w:p>
    <w:p w:rsidR="007479CF" w:rsidRDefault="00CD28B5">
      <w:pPr>
        <w:spacing w:after="250" w:line="248" w:lineRule="auto"/>
        <w:ind w:left="-15" w:firstLine="0"/>
      </w:pPr>
      <w:r>
        <w:rPr>
          <w:sz w:val="18"/>
        </w:rPr>
        <w:t>...................................................................................................................................................................</w:t>
      </w:r>
    </w:p>
    <w:p w:rsidR="007479CF" w:rsidRDefault="00CD28B5">
      <w:pPr>
        <w:ind w:left="-15" w:right="-6" w:firstLine="0"/>
      </w:pPr>
      <w:r>
        <w:t>T</w:t>
      </w:r>
      <w:r>
        <w:rPr>
          <w:rFonts w:ascii="Calibri" w:eastAsia="Calibri" w:hAnsi="Calibri" w:cs="Calibri"/>
        </w:rPr>
        <w:t></w:t>
      </w:r>
      <w:r>
        <w:t xml:space="preserve"> functional method has become both the mantra and the </w:t>
      </w:r>
      <w:r>
        <w:rPr>
          <w:i/>
        </w:rPr>
        <w:t>bête noire</w:t>
      </w:r>
      <w:r>
        <w:t xml:space="preserve"> of comparative law. For its proponents it is the most, perhaps the only, fruitful method;</w:t>
      </w:r>
      <w:r>
        <w:rPr>
          <w:b/>
          <w:vertAlign w:val="superscript"/>
        </w:rPr>
        <w:footnoteReference w:id="1"/>
      </w:r>
      <w:r>
        <w:t xml:space="preserve"> to its opponents it represents everything bad about mainstream comparative law. The debate over the functional method is indeed much more than a methodological dis</w:t>
      </w:r>
      <w:r>
        <w:t xml:space="preserve">pute. It is the focal point of almost all discussions about the </w:t>
      </w:r>
      <w:r>
        <w:rPr>
          <w:rFonts w:ascii="Calibri" w:eastAsia="Calibri" w:hAnsi="Calibri" w:cs="Calibri"/>
        </w:rPr>
        <w:t>fi</w:t>
      </w:r>
      <w:r>
        <w:t>eld of comparative law as a whole—centres versus peripheries of scholarly projects and interests, mainstream versus avant-garde, convergence versus pluralism, instrumentalism versus hermeneu</w:t>
      </w:r>
      <w:r>
        <w:t>tics, technocracy versus culture, and so on.</w:t>
      </w:r>
    </w:p>
    <w:p w:rsidR="007479CF" w:rsidRDefault="00CD28B5">
      <w:pPr>
        <w:spacing w:after="334"/>
        <w:ind w:left="-15" w:right="-6"/>
      </w:pPr>
      <w:r>
        <w:t xml:space="preserve">This functional method is a chimera, in both theory and practice of comparative law. As theory it hardly exists, at least in an elaborated version. The standard reference text for supporters and opponents alike </w:t>
      </w:r>
      <w:r>
        <w:t>is a brief chapter in an introductory textbook, a text that in its original conception is almost half a century of age</w:t>
      </w:r>
      <w:r>
        <w:rPr>
          <w:b/>
          <w:vertAlign w:val="superscript"/>
        </w:rPr>
        <w:footnoteReference w:id="2"/>
      </w:r>
      <w:r>
        <w:t>and whose author, Zweigert, expressed both disdain for methodological debate</w:t>
      </w:r>
      <w:r>
        <w:rPr>
          <w:b/>
          <w:vertAlign w:val="superscript"/>
        </w:rPr>
        <w:t xml:space="preserve">3 </w:t>
      </w:r>
      <w:r>
        <w:rPr>
          <w:rFonts w:ascii="Calibri" w:eastAsia="Calibri" w:hAnsi="Calibri" w:cs="Calibri"/>
        </w:rPr>
        <w:t></w:t>
      </w:r>
    </w:p>
    <w:p w:rsidR="007479CF" w:rsidRDefault="00CD28B5">
      <w:pPr>
        <w:ind w:left="-15" w:right="-6" w:firstLine="0"/>
      </w:pPr>
      <w:r>
        <w:t>and a preference for inspiration over methodological r</w:t>
      </w:r>
      <w:r>
        <w:t>igour as the comparatist’s ultimate guide.</w:t>
      </w:r>
      <w:r>
        <w:rPr>
          <w:b/>
          <w:vertAlign w:val="superscript"/>
        </w:rPr>
        <w:t>4</w:t>
      </w:r>
      <w:r>
        <w:t xml:space="preserve"> Even a seminal text like Zweigert’s cannot possibly provide all </w:t>
      </w:r>
      <w:r>
        <w:lastRenderedPageBreak/>
        <w:t>elements of a theory, nor su</w:t>
      </w:r>
      <w:r>
        <w:rPr>
          <w:rFonts w:ascii="Calibri" w:eastAsia="Calibri" w:hAnsi="Calibri" w:cs="Calibri"/>
        </w:rPr>
        <w:t>ffi</w:t>
      </w:r>
      <w:r>
        <w:t xml:space="preserve">ce to refute all criticism directed against it. Moreover, even a spurious overview of comparative law theory reveals </w:t>
      </w:r>
      <w:r>
        <w:t>that functionalism is, and has always been, only one of several approaches towards micro-comparison. At least three main current approaches other than functionalism remain:</w:t>
      </w:r>
      <w:r>
        <w:rPr>
          <w:b/>
          <w:vertAlign w:val="superscript"/>
        </w:rPr>
        <w:footnoteReference w:id="3"/>
      </w:r>
      <w:r>
        <w:t xml:space="preserve"> comparative legal history, the study of legal transplants, and the comparative st</w:t>
      </w:r>
      <w:r>
        <w:t>udy of legal cultures.</w:t>
      </w:r>
    </w:p>
    <w:p w:rsidR="007479CF" w:rsidRDefault="00CD28B5">
      <w:pPr>
        <w:spacing w:after="776"/>
        <w:ind w:left="-15" w:right="-6"/>
      </w:pPr>
      <w:r>
        <w:t>Concerning practice, the functional approach underlies some famous successful and methodologically explicit studies, but they are famous in no small part because they are so rare.</w:t>
      </w:r>
      <w:r>
        <w:rPr>
          <w:b/>
          <w:vertAlign w:val="superscript"/>
        </w:rPr>
        <w:footnoteReference w:id="4"/>
      </w:r>
      <w:r>
        <w:t xml:space="preserve"> More often, for supporters and opponents alike, ‘fu</w:t>
      </w:r>
      <w:r>
        <w:t>nctional method’ merely serves as shorthand for traditional comparative law. Two recent works on similar topics illustrate this. Stefan Vogenauer explicitly places his comprehensive comparative study of statutory interpretation within the functional tradit</w:t>
      </w:r>
      <w:r>
        <w:t>ion,</w:t>
      </w:r>
      <w:r>
        <w:rPr>
          <w:b/>
          <w:vertAlign w:val="superscript"/>
        </w:rPr>
        <w:footnoteReference w:id="5"/>
      </w:r>
      <w:r>
        <w:t xml:space="preserve"> although his analysis focuses on forms of legal argument rather than functions. In contrast, Mitchel Lasser describes the method behind his comparison of judicial styles as a (cultural) analysis of </w:t>
      </w:r>
      <w:r>
        <w:rPr>
          <w:i/>
        </w:rPr>
        <w:t>mentalités</w:t>
      </w:r>
      <w:r>
        <w:t>,</w:t>
      </w:r>
      <w:r>
        <w:rPr>
          <w:b/>
          <w:vertAlign w:val="superscript"/>
        </w:rPr>
        <w:footnoteReference w:id="6"/>
      </w:r>
      <w:r>
        <w:t xml:space="preserve"> but then he explains di</w:t>
      </w:r>
      <w:r>
        <w:rPr>
          <w:rFonts w:ascii="Calibri" w:eastAsia="Calibri" w:hAnsi="Calibri" w:cs="Calibri"/>
        </w:rPr>
        <w:t>ff</w:t>
      </w:r>
      <w:r>
        <w:t>erent</w:t>
      </w:r>
    </w:p>
    <w:p w:rsidR="007479CF" w:rsidRDefault="00CD28B5">
      <w:pPr>
        <w:spacing w:after="46" w:line="248" w:lineRule="auto"/>
        <w:ind w:left="-15" w:firstLine="0"/>
      </w:pPr>
      <w:r>
        <w:rPr>
          <w:sz w:val="18"/>
        </w:rPr>
        <w:t xml:space="preserve">LR </w:t>
      </w:r>
      <w:r>
        <w:rPr>
          <w:rFonts w:ascii="Calibri" w:eastAsia="Calibri" w:hAnsi="Calibri" w:cs="Calibri"/>
          <w:sz w:val="18"/>
        </w:rPr>
        <w:t></w:t>
      </w:r>
      <w:r>
        <w:rPr>
          <w:sz w:val="18"/>
        </w:rPr>
        <w:t xml:space="preserve">, </w:t>
      </w:r>
      <w:r>
        <w:rPr>
          <w:rFonts w:ascii="Calibri" w:eastAsia="Calibri" w:hAnsi="Calibri" w:cs="Calibri"/>
          <w:sz w:val="18"/>
        </w:rPr>
        <w:t></w:t>
      </w:r>
      <w:r>
        <w:rPr>
          <w:sz w:val="18"/>
        </w:rPr>
        <w:t>; Hans G. Ficker, ‘L’état du droit comparé en Allemagne’,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RIDC</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M. Schmittho</w:t>
      </w:r>
      <w:r>
        <w:rPr>
          <w:rFonts w:ascii="Calibri" w:eastAsia="Calibri" w:hAnsi="Calibri" w:cs="Calibri"/>
          <w:sz w:val="18"/>
        </w:rPr>
        <w:t>ff</w:t>
      </w:r>
      <w:r>
        <w:rPr>
          <w:sz w:val="18"/>
        </w:rPr>
        <w:t>, ‘The Science of Comparative Law’, (</w:t>
      </w:r>
      <w:r>
        <w:rPr>
          <w:rFonts w:ascii="Calibri" w:eastAsia="Calibri" w:hAnsi="Calibri" w:cs="Calibri"/>
          <w:sz w:val="18"/>
        </w:rPr>
        <w:t></w:t>
      </w:r>
      <w:r>
        <w:rPr>
          <w:sz w:val="18"/>
        </w:rPr>
        <w:t>–</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Cambridge LJ</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 ff</w:t>
      </w:r>
      <w:r>
        <w:rPr>
          <w:sz w:val="18"/>
        </w:rPr>
        <w:t xml:space="preserve">; Tullio Ascarelli, </w:t>
      </w:r>
      <w:r>
        <w:rPr>
          <w:i/>
          <w:sz w:val="18"/>
        </w:rPr>
        <w:t>Studi di diritto comparato e in tema di interpretazione</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 ff</w:t>
      </w:r>
      <w:r>
        <w:rPr>
          <w:sz w:val="18"/>
        </w:rPr>
        <w:t>.</w:t>
      </w:r>
    </w:p>
    <w:p w:rsidR="007479CF" w:rsidRDefault="00CD28B5">
      <w:pPr>
        <w:numPr>
          <w:ilvl w:val="0"/>
          <w:numId w:val="1"/>
        </w:numPr>
        <w:spacing w:after="4" w:line="248" w:lineRule="auto"/>
        <w:ind w:firstLine="165"/>
      </w:pPr>
      <w:r>
        <w:rPr>
          <w:sz w:val="18"/>
        </w:rPr>
        <w:t xml:space="preserve">Below, n </w:t>
      </w:r>
      <w:r>
        <w:rPr>
          <w:rFonts w:ascii="Calibri" w:eastAsia="Calibri" w:hAnsi="Calibri" w:cs="Calibri"/>
          <w:sz w:val="18"/>
        </w:rPr>
        <w:t></w:t>
      </w:r>
      <w:r>
        <w:rPr>
          <w:sz w:val="18"/>
        </w:rPr>
        <w:t>.</w:t>
      </w:r>
    </w:p>
    <w:p w:rsidR="007479CF" w:rsidRDefault="00CD28B5">
      <w:pPr>
        <w:numPr>
          <w:ilvl w:val="0"/>
          <w:numId w:val="1"/>
        </w:numPr>
        <w:spacing w:after="4" w:line="248" w:lineRule="auto"/>
        <w:ind w:firstLine="165"/>
      </w:pPr>
      <w:r>
        <w:rPr>
          <w:sz w:val="18"/>
        </w:rPr>
        <w:t xml:space="preserve">See Zweigert and Kötz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expressing approval of a statement by Gustav Radbruch, </w:t>
      </w:r>
      <w:r>
        <w:rPr>
          <w:i/>
          <w:sz w:val="18"/>
        </w:rPr>
        <w:t>Einführung in die Rechtswissenschaft</w:t>
      </w:r>
      <w:r>
        <w:rPr>
          <w:sz w:val="18"/>
        </w:rPr>
        <w:t xml:space="preserve"> (</w:t>
      </w:r>
      <w:r>
        <w:rPr>
          <w:rFonts w:ascii="Calibri" w:eastAsia="Calibri" w:hAnsi="Calibri" w:cs="Calibri"/>
          <w:sz w:val="18"/>
        </w:rPr>
        <w:t></w:t>
      </w:r>
      <w:r>
        <w:rPr>
          <w:sz w:val="18"/>
        </w:rPr>
        <w:t xml:space="preserve">th edn,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sz w:val="18"/>
        </w:rPr>
        <w:t>Wissenschaften, die sich mit ihrer eigenen Methodenlehre zu beschäftigen Anlaß haben, sind kranke Wissenschaften’; ‘. . . sciences which have to busy themselves with their own methodology are sick sciences’); but cf the more distanced attitude in Zweigert,</w:t>
      </w:r>
      <w:r>
        <w:rPr>
          <w:sz w:val="18"/>
        </w:rPr>
        <w:t xml:space="preserve"> ‘Zur Methode’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(‘mag auf sich beruhen’). See already Franz von Liszt, ‘Das “richtige Recht” in der Strafgesetzgebung’, in Konrad Zweigert and Hans-Jürgen Puttfarken (eds), </w:t>
      </w:r>
      <w:r>
        <w:rPr>
          <w:i/>
          <w:sz w:val="18"/>
        </w:rPr>
        <w:t>Rechtsvergleichung</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originally in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Zeitschrift fü</w:t>
      </w:r>
      <w:r>
        <w:rPr>
          <w:i/>
          <w:sz w:val="18"/>
        </w:rPr>
        <w:t>r die gesamte Strafrechtswissenschaft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‘Es p</w:t>
      </w:r>
      <w:r>
        <w:rPr>
          <w:rFonts w:ascii="Calibri" w:eastAsia="Calibri" w:hAnsi="Calibri" w:cs="Calibri"/>
          <w:sz w:val="18"/>
        </w:rPr>
        <w:t>fl</w:t>
      </w:r>
      <w:r>
        <w:rPr>
          <w:sz w:val="18"/>
        </w:rPr>
        <w:t>egen nicht eben die scha</w:t>
      </w:r>
      <w:r>
        <w:rPr>
          <w:rFonts w:ascii="Calibri" w:eastAsia="Calibri" w:hAnsi="Calibri" w:cs="Calibri"/>
          <w:sz w:val="18"/>
        </w:rPr>
        <w:t>ff</w:t>
      </w:r>
      <w:r>
        <w:rPr>
          <w:sz w:val="18"/>
        </w:rPr>
        <w:t xml:space="preserve">enskräftigsten unter den Gelehrten zu sein, die sich der Erörterung methodologischer Fragen zuwenden’ (Usually, the scholars who deal with issues of methodology are not the most </w:t>
      </w:r>
      <w:r>
        <w:rPr>
          <w:sz w:val="18"/>
        </w:rPr>
        <w:t>productive ones).</w:t>
      </w:r>
    </w:p>
    <w:p w:rsidR="007479CF" w:rsidRDefault="00CD28B5">
      <w:pPr>
        <w:pStyle w:val="Heading2"/>
        <w:spacing w:after="313" w:line="263" w:lineRule="auto"/>
        <w:ind w:left="-5"/>
      </w:pPr>
      <w:r>
        <w:rPr>
          <w:rFonts w:ascii="Calibri" w:eastAsia="Calibri" w:hAnsi="Calibri" w:cs="Calibri"/>
          <w:b w:val="0"/>
          <w:sz w:val="22"/>
        </w:rPr>
        <w:lastRenderedPageBreak/>
        <w:t></w:t>
      </w:r>
    </w:p>
    <w:p w:rsidR="007479CF" w:rsidRDefault="00CD28B5">
      <w:pPr>
        <w:spacing w:after="35"/>
        <w:ind w:left="-15" w:right="-6" w:firstLine="0"/>
      </w:pPr>
      <w:r>
        <w:t>styles of legal systems as equivalent regarding the functions they serve: transparency, judicial accountability, and control.</w:t>
      </w:r>
      <w:r>
        <w:rPr>
          <w:b/>
          <w:vertAlign w:val="superscript"/>
        </w:rPr>
        <w:footnoteReference w:id="7"/>
      </w:r>
    </w:p>
    <w:p w:rsidR="007479CF" w:rsidRDefault="00CD28B5">
      <w:pPr>
        <w:ind w:left="-15" w:right="-6"/>
      </w:pPr>
      <w:r>
        <w:t>In short, ‘the functional method’ is a triple misnomer. First, there is not one (‘the’) functional method,</w:t>
      </w:r>
      <w:r>
        <w:t xml:space="preserve"> but many. Second, not all allegedly functional methods are ‘functional’ at all. Third, some projects claiming adherence to it do not even follow any recognizable ‘method’. Does functionalist comparative law actually have any meaning? Functionalist compara</w:t>
      </w:r>
      <w:r>
        <w:t>tists agree on some important elements. First, functionalist comparative law is factual, it focuses not on rules but on their e</w:t>
      </w:r>
      <w:r>
        <w:rPr>
          <w:rFonts w:ascii="Calibri" w:eastAsia="Calibri" w:hAnsi="Calibri" w:cs="Calibri"/>
        </w:rPr>
        <w:t>ff</w:t>
      </w:r>
      <w:r>
        <w:t>ects, not on doctrinal structures and arguments, but on events. As a consequence, its objects are often judicial decisions as r</w:t>
      </w:r>
      <w:r>
        <w:t xml:space="preserve">esponses to real life situations, and legal systems are compared by considering their various judicial responses to similar situations. Second, functionalist comparative law combines its factual approach with the theory that its objects must be understood </w:t>
      </w:r>
      <w:r>
        <w:t xml:space="preserve">in the light of their functional relation to society. Law and society are thus thought to be separable but related. Consequently, and third, function itself serves as </w:t>
      </w:r>
      <w:r>
        <w:rPr>
          <w:i/>
        </w:rPr>
        <w:t>tertium comparationis</w:t>
      </w:r>
      <w:r>
        <w:t>. Institutions, both legal and non-legal, even doctrinally di</w:t>
      </w:r>
      <w:r>
        <w:rPr>
          <w:rFonts w:ascii="Calibri" w:eastAsia="Calibri" w:hAnsi="Calibri" w:cs="Calibri"/>
        </w:rPr>
        <w:t>ff</w:t>
      </w:r>
      <w:r>
        <w:t>erent</w:t>
      </w:r>
      <w:r>
        <w:t xml:space="preserve"> ones, are comparable if they are functionally equivalent, if they ful</w:t>
      </w:r>
      <w:r>
        <w:rPr>
          <w:rFonts w:ascii="Calibri" w:eastAsia="Calibri" w:hAnsi="Calibri" w:cs="Calibri"/>
        </w:rPr>
        <w:t>fi</w:t>
      </w:r>
      <w:r>
        <w:t>l similar functions in di</w:t>
      </w:r>
      <w:r>
        <w:rPr>
          <w:rFonts w:ascii="Calibri" w:eastAsia="Calibri" w:hAnsi="Calibri" w:cs="Calibri"/>
        </w:rPr>
        <w:t>ff</w:t>
      </w:r>
      <w:r>
        <w:t>erent legal systems. A fourth element, not shared by all variants of functional method, is that functionality can serve as an evaluative criterion. Functiona</w:t>
      </w:r>
      <w:r>
        <w:t>list comparative law then becomes a ‘better-law comparison’—the better of several laws is that which ful</w:t>
      </w:r>
      <w:r>
        <w:rPr>
          <w:rFonts w:ascii="Calibri" w:eastAsia="Calibri" w:hAnsi="Calibri" w:cs="Calibri"/>
        </w:rPr>
        <w:t>fi</w:t>
      </w:r>
      <w:r>
        <w:t>ls its function better than the others.</w:t>
      </w:r>
    </w:p>
    <w:p w:rsidR="007479CF" w:rsidRDefault="00CD28B5">
      <w:pPr>
        <w:spacing w:after="339"/>
        <w:ind w:left="-15" w:right="-6"/>
      </w:pPr>
      <w:r>
        <w:t>This chapter tries to reconstruct and evaluate functionalist comparative law by placing it within the larger f</w:t>
      </w:r>
      <w:r>
        <w:t>ramework of other disciplines, especially the social sciences. It is of course a risk for a comparative lawyer to use disciplines foreign to his own—sociology, anthropology, philosophy—as lenses on his own discipline. But comparatists know that looking thr</w:t>
      </w:r>
      <w:r>
        <w:t xml:space="preserve">ough the eyes of foreign law enables us better to understand our own, so looking through the eyes of foreign disciplines should similarly help us better to understand our own discipline. Such an interdisciplinary analysis yields three promises. First, the </w:t>
      </w:r>
      <w:r>
        <w:t>interdisciplinary look should enable a (re-)construction of a more theoretically grounded functional method of comparative law than is usually presented (Section II). This should reveal its connections with and its peculiarities within both the development</w:t>
      </w:r>
      <w:r>
        <w:t xml:space="preserve"> of comparative law and the development of functionalism in other disciplines. Second, the interdisciplinary approach should help formulate and evaluate the concept in order to determine how functional the method really is (Section III). Just as comparativ</w:t>
      </w:r>
      <w:r>
        <w:t xml:space="preserve">e law can borrow from the development of functional methods in the social sciences, so it can borrow from the development of critique. </w:t>
      </w:r>
      <w:r>
        <w:lastRenderedPageBreak/>
        <w:t xml:space="preserve">However, comparative law is not a social science, and herein lies the third promise of an interdisciplinary </w:t>
      </w:r>
      <w:r>
        <w:rPr>
          <w:rFonts w:ascii="Calibri" w:eastAsia="Calibri" w:hAnsi="Calibri" w:cs="Calibri"/>
        </w:rPr>
        <w:t></w:t>
      </w:r>
    </w:p>
    <w:p w:rsidR="007479CF" w:rsidRDefault="00CD28B5">
      <w:pPr>
        <w:spacing w:after="1337"/>
        <w:ind w:left="-15" w:right="-6" w:firstLine="0"/>
      </w:pPr>
      <w:r>
        <w:t>approach:</w:t>
      </w:r>
      <w:r>
        <w:t xml:space="preserve"> The comparison with functionalism in other disciplines may reveal what is special about functionalism in comparative law, and why what in other disciplines would rightly be regarded as methodological shortcomings may in fact be fruitful for comparative la</w:t>
      </w:r>
      <w:r>
        <w:t>w.</w:t>
      </w:r>
    </w:p>
    <w:p w:rsidR="007479CF" w:rsidRDefault="00CD28B5">
      <w:pPr>
        <w:pStyle w:val="Heading1"/>
        <w:ind w:right="2"/>
      </w:pPr>
      <w:r>
        <w:t>II. Concepts of Functionalism</w:t>
      </w:r>
    </w:p>
    <w:p w:rsidR="007479CF" w:rsidRDefault="00CD28B5">
      <w:pPr>
        <w:spacing w:after="250" w:line="248" w:lineRule="auto"/>
        <w:ind w:left="-15" w:firstLine="0"/>
      </w:pPr>
      <w:r>
        <w:rPr>
          <w:sz w:val="18"/>
        </w:rPr>
        <w:t>...................................................................................................................................................................</w:t>
      </w:r>
    </w:p>
    <w:p w:rsidR="007479CF" w:rsidRDefault="00CD28B5">
      <w:pPr>
        <w:ind w:left="-15" w:right="-6" w:firstLine="0"/>
      </w:pPr>
      <w:r>
        <w:t xml:space="preserve">In </w:t>
      </w:r>
      <w:r>
        <w:rPr>
          <w:rFonts w:ascii="Calibri" w:eastAsia="Calibri" w:hAnsi="Calibri" w:cs="Calibri"/>
        </w:rPr>
        <w:t></w:t>
      </w:r>
      <w:r>
        <w:t>, Konrad Zweigert postulated a methodological monopoly: ‘The basic methodological principle of all comparative law is that of functionality.’</w:t>
      </w:r>
      <w:r>
        <w:rPr>
          <w:b/>
          <w:vertAlign w:val="superscript"/>
        </w:rPr>
        <w:footnoteReference w:id="8"/>
      </w:r>
      <w:r>
        <w:t xml:space="preserve"> Twelve years before him, Kingsley David had done something similar for sociology and social anthropology when he</w:t>
      </w:r>
      <w:r>
        <w:t xml:space="preserve"> had called structural-functional analysis, ‘in e</w:t>
      </w:r>
      <w:r>
        <w:rPr>
          <w:rFonts w:ascii="Calibri" w:eastAsia="Calibri" w:hAnsi="Calibri" w:cs="Calibri"/>
        </w:rPr>
        <w:t>ff</w:t>
      </w:r>
      <w:r>
        <w:t>ect, synonymous with sociological analysis’.</w:t>
      </w:r>
      <w:r>
        <w:rPr>
          <w:b/>
          <w:vertAlign w:val="superscript"/>
        </w:rPr>
        <w:footnoteReference w:id="9"/>
      </w:r>
      <w:r>
        <w:t xml:space="preserve"> Similarly again, Laura Kalman remarked that the statement that we are all (legal) realists now ‘has been made so frequently that it has become a truism to ref</w:t>
      </w:r>
      <w:r>
        <w:t>er to it as a truism’.</w:t>
      </w:r>
      <w:r>
        <w:rPr>
          <w:b/>
          <w:vertAlign w:val="superscript"/>
        </w:rPr>
        <w:footnoteReference w:id="10"/>
      </w:r>
    </w:p>
    <w:p w:rsidR="007479CF" w:rsidRDefault="00CD28B5">
      <w:pPr>
        <w:spacing w:after="317"/>
        <w:ind w:left="-15" w:right="-6"/>
      </w:pPr>
      <w:r>
        <w:t>Such claims of monopoly suggest a lack of conceptual clarity, or a lack of theoretical sophistication, or both. If functionalism is the only method in a discipline, chances are that either the discipline does not recognize all of its potential, or the noti</w:t>
      </w:r>
      <w:r>
        <w:t>on of functional method is itself in</w:t>
      </w:r>
      <w:r>
        <w:rPr>
          <w:rFonts w:ascii="Calibri" w:eastAsia="Calibri" w:hAnsi="Calibri" w:cs="Calibri"/>
        </w:rPr>
        <w:t>fl</w:t>
      </w:r>
      <w:r>
        <w:t>ated into a meaninglessly broad concept. Indeed, neither Davis nor Kalman thought a speci</w:t>
      </w:r>
      <w:r>
        <w:rPr>
          <w:rFonts w:ascii="Calibri" w:eastAsia="Calibri" w:hAnsi="Calibri" w:cs="Calibri"/>
        </w:rPr>
        <w:t>fi</w:t>
      </w:r>
      <w:r>
        <w:t>ed version of functionalism had won the day in their respective disciplines. Davis proposed to drop the notion of functionalism</w:t>
      </w:r>
      <w:r>
        <w:t xml:space="preserve"> because it blurred the underlying methodological di</w:t>
      </w:r>
      <w:r>
        <w:rPr>
          <w:rFonts w:ascii="Calibri" w:eastAsia="Calibri" w:hAnsi="Calibri" w:cs="Calibri"/>
        </w:rPr>
        <w:t>ff</w:t>
      </w:r>
      <w:r>
        <w:t>erences.</w:t>
      </w:r>
      <w:r>
        <w:rPr>
          <w:b/>
          <w:vertAlign w:val="superscript"/>
        </w:rPr>
        <w:footnoteReference w:id="11"/>
      </w:r>
      <w:r>
        <w:t xml:space="preserve"> Similarly, the ‘we are all realists now’ quote has been used as a strategy to conceal the special contributions of legal realism</w:t>
      </w:r>
      <w:r>
        <w:rPr>
          <w:b/>
          <w:vertAlign w:val="superscript"/>
        </w:rPr>
        <w:footnoteReference w:id="12"/>
      </w:r>
      <w:r>
        <w:t xml:space="preserve"> rather than to adopt </w:t>
      </w:r>
      <w:r>
        <w:lastRenderedPageBreak/>
        <w:t>their general ones, a way of beating re</w:t>
      </w:r>
      <w:r>
        <w:t>alism by embracing it to death. If we are all functionalists of comparative law, as Zweigert proclaims, then functionalism cannot mean very much. (Nor, as one tends to overlook, can its rejection by its critics.) The reconstruction of a more precise concep</w:t>
      </w:r>
      <w:r>
        <w:t xml:space="preserve">t of functionalism in each discipline </w:t>
      </w:r>
      <w:r>
        <w:rPr>
          <w:rFonts w:ascii="Calibri" w:eastAsia="Calibri" w:hAnsi="Calibri" w:cs="Calibri"/>
        </w:rPr>
        <w:t></w:t>
      </w:r>
    </w:p>
    <w:p w:rsidR="007479CF" w:rsidRDefault="00CD28B5">
      <w:pPr>
        <w:ind w:left="-15" w:right="-6" w:firstLine="0"/>
      </w:pPr>
      <w:r>
        <w:t>reveals another, less obvious but more important, problem—functionalism means di</w:t>
      </w:r>
      <w:r>
        <w:rPr>
          <w:rFonts w:ascii="Calibri" w:eastAsia="Calibri" w:hAnsi="Calibri" w:cs="Calibri"/>
        </w:rPr>
        <w:t>ff</w:t>
      </w:r>
      <w:r>
        <w:t>erent things in di</w:t>
      </w:r>
      <w:r>
        <w:rPr>
          <w:rFonts w:ascii="Calibri" w:eastAsia="Calibri" w:hAnsi="Calibri" w:cs="Calibri"/>
        </w:rPr>
        <w:t>ff</w:t>
      </w:r>
      <w:r>
        <w:t>erent disciplines. Super</w:t>
      </w:r>
      <w:r>
        <w:rPr>
          <w:rFonts w:ascii="Calibri" w:eastAsia="Calibri" w:hAnsi="Calibri" w:cs="Calibri"/>
        </w:rPr>
        <w:t>fi</w:t>
      </w:r>
      <w:r>
        <w:t xml:space="preserve">cially, one would expect to </w:t>
      </w:r>
      <w:r>
        <w:rPr>
          <w:rFonts w:ascii="Calibri" w:eastAsia="Calibri" w:hAnsi="Calibri" w:cs="Calibri"/>
        </w:rPr>
        <w:t>fi</w:t>
      </w:r>
      <w:r>
        <w:t>nd similarities. After all, the turn in the nineteenth a</w:t>
      </w:r>
      <w:r>
        <w:t>nd twentieth centuries away from essentialist to functionalist methods, from observation of objects themselves to observation of their relations amongst each other and to the whole, was so widespread that one could speak of a general ‘functionalist turn’ a</w:t>
      </w:r>
      <w:r>
        <w:t>way from essentialism in all academic disciplines and beyond, for example, in architecture and design (‘form follows function’). There may indeed have been no more fashionable concept in the twentieth century than that of function.</w:t>
      </w:r>
      <w:r>
        <w:rPr>
          <w:b/>
          <w:vertAlign w:val="superscript"/>
        </w:rPr>
        <w:footnoteReference w:id="13"/>
      </w:r>
      <w:r>
        <w:t xml:space="preserve"> This simultaneous rise</w:t>
      </w:r>
      <w:r>
        <w:t xml:space="preserve"> and fall of functionalism in di</w:t>
      </w:r>
      <w:r>
        <w:rPr>
          <w:rFonts w:ascii="Calibri" w:eastAsia="Calibri" w:hAnsi="Calibri" w:cs="Calibri"/>
        </w:rPr>
        <w:t>ff</w:t>
      </w:r>
      <w:r>
        <w:t>erent disciplines suggests a parallel, perhaps even a common development, or evolution, of ideas.</w:t>
      </w:r>
      <w:r>
        <w:rPr>
          <w:b/>
          <w:vertAlign w:val="superscript"/>
        </w:rPr>
        <w:footnoteReference w:id="14"/>
      </w:r>
      <w:r>
        <w:t xml:space="preserve"> Similarity becomes even more plausible in view of cross-fertilizations between disciplines:</w:t>
      </w:r>
      <w:r>
        <w:rPr>
          <w:b/>
          <w:vertAlign w:val="superscript"/>
        </w:rPr>
        <w:footnoteReference w:id="15"/>
      </w:r>
      <w:r>
        <w:t xml:space="preserve"> Ernst Cassirer transposed th</w:t>
      </w:r>
      <w:r>
        <w:t>e notion from mathematics and science to philosophy;</w:t>
      </w:r>
      <w:r>
        <w:rPr>
          <w:b/>
          <w:vertAlign w:val="superscript"/>
        </w:rPr>
        <w:footnoteReference w:id="16"/>
      </w:r>
      <w:r>
        <w:t xml:space="preserve"> sociologists from Comte and Spencer via Durkheim to Parsons and Luhmann borrowed biological concepts; lawyers like Jhering and Pound were inspired by sociological ideas of function.</w:t>
      </w:r>
    </w:p>
    <w:p w:rsidR="007479CF" w:rsidRDefault="00CD28B5">
      <w:pPr>
        <w:ind w:left="-15" w:right="-6"/>
      </w:pPr>
      <w:r>
        <w:t>But such cross-fert</w:t>
      </w:r>
      <w:r>
        <w:t>ilization, as comparatists know well from the legal transplants debate, is not immune to misunderstandings and alterations, known or unknown. The story of a common development, alluring as it may be, tends to overlook the di</w:t>
      </w:r>
      <w:r>
        <w:rPr>
          <w:rFonts w:ascii="Calibri" w:eastAsia="Calibri" w:hAnsi="Calibri" w:cs="Calibri"/>
        </w:rPr>
        <w:t>ff</w:t>
      </w:r>
      <w:r>
        <w:t>erences between concepts and d</w:t>
      </w:r>
      <w:r>
        <w:t>isciplines and, as a consequence, the di</w:t>
      </w:r>
      <w:r>
        <w:rPr>
          <w:rFonts w:ascii="Calibri" w:eastAsia="Calibri" w:hAnsi="Calibri" w:cs="Calibri"/>
        </w:rPr>
        <w:t>ff</w:t>
      </w:r>
      <w:r>
        <w:t>erences between di</w:t>
      </w:r>
      <w:r>
        <w:rPr>
          <w:rFonts w:ascii="Calibri" w:eastAsia="Calibri" w:hAnsi="Calibri" w:cs="Calibri"/>
        </w:rPr>
        <w:t>ff</w:t>
      </w:r>
      <w:r>
        <w:t xml:space="preserve">erent kinds of functionalism. This is especially problematic for a discipline like comparative law that sees its place somewhere between the social sciences on the one hand and legal studies on </w:t>
      </w:r>
      <w:r>
        <w:t>the other, and that draws methodological inspiration from both. If the concepts and methods in these disciplines are di</w:t>
      </w:r>
      <w:r>
        <w:rPr>
          <w:rFonts w:ascii="Calibri" w:eastAsia="Calibri" w:hAnsi="Calibri" w:cs="Calibri"/>
        </w:rPr>
        <w:t>ff</w:t>
      </w:r>
      <w:r>
        <w:t>erent, the result can only be methodological mishmash.</w:t>
      </w:r>
    </w:p>
    <w:p w:rsidR="007479CF" w:rsidRDefault="00CD28B5">
      <w:pPr>
        <w:spacing w:after="330"/>
        <w:ind w:left="-15" w:right="-6"/>
      </w:pPr>
      <w:r>
        <w:lastRenderedPageBreak/>
        <w:t>In fact, one can distinguish at least seven di</w:t>
      </w:r>
      <w:r>
        <w:rPr>
          <w:rFonts w:ascii="Calibri" w:eastAsia="Calibri" w:hAnsi="Calibri" w:cs="Calibri"/>
        </w:rPr>
        <w:t>ff</w:t>
      </w:r>
      <w:r>
        <w:t xml:space="preserve">erent concepts of functionalism </w:t>
      </w:r>
      <w:r>
        <w:t>across disciplines:</w:t>
      </w:r>
      <w:r>
        <w:rPr>
          <w:b/>
          <w:vertAlign w:val="superscript"/>
        </w:rPr>
        <w:footnoteReference w:id="17"/>
      </w:r>
      <w:r>
        <w:t xml:space="preserve"> (</w:t>
      </w:r>
      <w:r>
        <w:rPr>
          <w:rFonts w:ascii="Calibri" w:eastAsia="Calibri" w:hAnsi="Calibri" w:cs="Calibri"/>
        </w:rPr>
        <w:t></w:t>
      </w:r>
      <w:r>
        <w:t xml:space="preserve">) </w:t>
      </w:r>
      <w:r>
        <w:rPr>
          <w:rFonts w:ascii="Calibri" w:eastAsia="Calibri" w:hAnsi="Calibri" w:cs="Calibri"/>
        </w:rPr>
        <w:t>fi</w:t>
      </w:r>
      <w:r>
        <w:t>nalism, a neo-Aristotelian functionalism based on inherent teleology, (</w:t>
      </w:r>
      <w:r>
        <w:rPr>
          <w:rFonts w:ascii="Calibri" w:eastAsia="Calibri" w:hAnsi="Calibri" w:cs="Calibri"/>
        </w:rPr>
        <w:t></w:t>
      </w:r>
      <w:r>
        <w:t>) adaptionism, an evolutionary functionalism in a Darwinian tradition, (</w:t>
      </w:r>
      <w:r>
        <w:rPr>
          <w:rFonts w:ascii="Calibri" w:eastAsia="Calibri" w:hAnsi="Calibri" w:cs="Calibri"/>
        </w:rPr>
        <w:t></w:t>
      </w:r>
      <w:r>
        <w:t>) classical (Durkheimian) functionalism, explaining institutions through their usef</w:t>
      </w:r>
      <w:r>
        <w:t>ulness for society, (</w:t>
      </w:r>
      <w:r>
        <w:rPr>
          <w:rFonts w:ascii="Calibri" w:eastAsia="Calibri" w:hAnsi="Calibri" w:cs="Calibri"/>
        </w:rPr>
        <w:t></w:t>
      </w:r>
      <w:r>
        <w:t>) instrumentalism, a normative theory of using law for social engineering, (</w:t>
      </w:r>
      <w:r>
        <w:rPr>
          <w:rFonts w:ascii="Calibri" w:eastAsia="Calibri" w:hAnsi="Calibri" w:cs="Calibri"/>
        </w:rPr>
        <w:t></w:t>
      </w:r>
      <w:r>
        <w:t>) re</w:t>
      </w:r>
      <w:r>
        <w:rPr>
          <w:rFonts w:ascii="Calibri" w:eastAsia="Calibri" w:hAnsi="Calibri" w:cs="Calibri"/>
        </w:rPr>
        <w:t>fi</w:t>
      </w:r>
      <w:r>
        <w:t xml:space="preserve">ned functionalism, a functionalist method that replaces certain postulates of classical functionalism with empirically testable hypotheses, </w:t>
      </w:r>
      <w:r>
        <w:rPr>
          <w:rFonts w:ascii="Calibri" w:eastAsia="Calibri" w:hAnsi="Calibri" w:cs="Calibri"/>
        </w:rPr>
        <w:t></w:t>
      </w:r>
    </w:p>
    <w:p w:rsidR="007479CF" w:rsidRDefault="00CD28B5">
      <w:pPr>
        <w:spacing w:after="720"/>
        <w:ind w:left="-15" w:right="-6" w:firstLine="0"/>
      </w:pPr>
      <w:r>
        <w:t>(</w:t>
      </w:r>
      <w:r>
        <w:rPr>
          <w:rFonts w:ascii="Calibri" w:eastAsia="Calibri" w:hAnsi="Calibri" w:cs="Calibri"/>
        </w:rPr>
        <w:t></w:t>
      </w:r>
      <w:r>
        <w:t>) epi</w:t>
      </w:r>
      <w:r>
        <w:t>stemological functionalism, an epistemology that focuses on functional relations rather than on the ontology of things, and (</w:t>
      </w:r>
      <w:r>
        <w:rPr>
          <w:rFonts w:ascii="Calibri" w:eastAsia="Calibri" w:hAnsi="Calibri" w:cs="Calibri"/>
        </w:rPr>
        <w:t></w:t>
      </w:r>
      <w:r>
        <w:t>) equivalence functionalism, building on these concepts but emphasizing the non-teleological, non-causal aspect of functional rela</w:t>
      </w:r>
      <w:r>
        <w:t>tions. Largely oblivious of incompatibilities, functionalist comparative law (</w:t>
      </w:r>
      <w:r>
        <w:rPr>
          <w:rFonts w:ascii="Calibri" w:eastAsia="Calibri" w:hAnsi="Calibri" w:cs="Calibri"/>
        </w:rPr>
        <w:t></w:t>
      </w:r>
      <w:r>
        <w:t>) uses all of these.</w:t>
      </w:r>
    </w:p>
    <w:p w:rsidR="007479CF" w:rsidRDefault="00CD28B5">
      <w:pPr>
        <w:pStyle w:val="Heading2"/>
        <w:ind w:left="-5"/>
      </w:pPr>
      <w:r>
        <w:rPr>
          <w:rFonts w:ascii="Calibri" w:eastAsia="Calibri" w:hAnsi="Calibri" w:cs="Calibri"/>
        </w:rPr>
        <w:t></w:t>
      </w:r>
      <w:r>
        <w:t>. Finalism</w:t>
      </w:r>
    </w:p>
    <w:p w:rsidR="007479CF" w:rsidRDefault="00CD28B5">
      <w:pPr>
        <w:ind w:left="-15" w:right="-6" w:firstLine="0"/>
      </w:pPr>
      <w:r>
        <w:t xml:space="preserve">Functionalist comparative law shares its emphasis on generalities that transcend national boundaries with the Natural law tradition, and indeed </w:t>
      </w:r>
      <w:r>
        <w:rPr>
          <w:rFonts w:ascii="Calibri" w:eastAsia="Calibri" w:hAnsi="Calibri" w:cs="Calibri"/>
        </w:rPr>
        <w:t>fi</w:t>
      </w:r>
      <w:r>
        <w:t xml:space="preserve">nds one of its origins there. Kant, while positing a strict separation between ‘is’ and ‘ought,’ had conceived the possibility of universal law based on reason. Neo-Kantians hoped to use comparative law as a response to Kirchmann’s famous verdict on law </w:t>
      </w:r>
      <w:r>
        <w:t>as nonscienti</w:t>
      </w:r>
      <w:r>
        <w:rPr>
          <w:rFonts w:ascii="Calibri" w:eastAsia="Calibri" w:hAnsi="Calibri" w:cs="Calibri"/>
        </w:rPr>
        <w:t>fi</w:t>
      </w:r>
      <w:r>
        <w:t xml:space="preserve">c and as a way towards a rational law. In </w:t>
      </w:r>
      <w:r>
        <w:rPr>
          <w:rFonts w:ascii="Calibri" w:eastAsia="Calibri" w:hAnsi="Calibri" w:cs="Calibri"/>
        </w:rPr>
        <w:t></w:t>
      </w:r>
      <w:r>
        <w:t xml:space="preserve">, Gustav Radbruch proposed a Kantian version of ideal law as </w:t>
      </w:r>
      <w:r>
        <w:rPr>
          <w:i/>
        </w:rPr>
        <w:t>tertium comparationis</w:t>
      </w:r>
      <w:r>
        <w:t xml:space="preserve"> for solutions to similar problems. This ideal law could not be deduced from the insights of comparative law (that would have been an is/ought crossover), but its formulation could help psychologically in the quest for better law.</w:t>
      </w:r>
      <w:r>
        <w:rPr>
          <w:b/>
          <w:vertAlign w:val="superscript"/>
        </w:rPr>
        <w:footnoteReference w:id="18"/>
      </w:r>
      <w:r>
        <w:t xml:space="preserve"> Twenty years later, Max</w:t>
      </w:r>
      <w:r>
        <w:t xml:space="preserve"> Salomon expanded on these thoughts and formulated the credo of modern functionalist comparative law: Legal science, like every science, deals with universals, but these universals are not legal norms but rather legal problems. As a consequence, a comparis</w:t>
      </w:r>
      <w:r>
        <w:t xml:space="preserve">on of legal norms is possible only of norms </w:t>
      </w:r>
      <w:r>
        <w:lastRenderedPageBreak/>
        <w:t>responding to the same legal problems.</w:t>
      </w:r>
      <w:r>
        <w:rPr>
          <w:b/>
          <w:vertAlign w:val="superscript"/>
        </w:rPr>
        <w:footnoteReference w:id="19"/>
      </w:r>
      <w:r>
        <w:t xml:space="preserve"> Legal science is possible only as comparative law.</w:t>
      </w:r>
    </w:p>
    <w:p w:rsidR="007479CF" w:rsidRDefault="00CD28B5">
      <w:pPr>
        <w:spacing w:after="308"/>
        <w:ind w:left="-15" w:right="-6"/>
      </w:pPr>
      <w:r>
        <w:t>Another source lies in Aristotle’s philosophy, where the idea that law performs some function for society in an unspeci</w:t>
      </w:r>
      <w:r>
        <w:rPr>
          <w:rFonts w:ascii="Calibri" w:eastAsia="Calibri" w:hAnsi="Calibri" w:cs="Calibri"/>
        </w:rPr>
        <w:t>f</w:t>
      </w:r>
      <w:r>
        <w:rPr>
          <w:rFonts w:ascii="Calibri" w:eastAsia="Calibri" w:hAnsi="Calibri" w:cs="Calibri"/>
        </w:rPr>
        <w:t>i</w:t>
      </w:r>
      <w:r>
        <w:t xml:space="preserve">c sense can already be found. For Aristotle, the purpose of things, their </w:t>
      </w:r>
      <w:r>
        <w:rPr>
          <w:i/>
        </w:rPr>
        <w:t>telos</w:t>
      </w:r>
      <w:r>
        <w:t xml:space="preserve"> or </w:t>
      </w:r>
      <w:r>
        <w:rPr>
          <w:i/>
        </w:rPr>
        <w:t xml:space="preserve">causa </w:t>
      </w:r>
      <w:r>
        <w:rPr>
          <w:rFonts w:ascii="Calibri" w:eastAsia="Calibri" w:hAnsi="Calibri" w:cs="Calibri"/>
          <w:i/>
        </w:rPr>
        <w:t>fi</w:t>
      </w:r>
      <w:r>
        <w:rPr>
          <w:i/>
        </w:rPr>
        <w:t>nalis</w:t>
      </w:r>
      <w:r>
        <w:t xml:space="preserve">, belonged to their nature. </w:t>
      </w:r>
      <w:r>
        <w:rPr>
          <w:rFonts w:ascii="Calibri" w:eastAsia="Calibri" w:hAnsi="Calibri" w:cs="Calibri"/>
        </w:rPr>
        <w:t></w:t>
      </w:r>
    </w:p>
    <w:p w:rsidR="007479CF" w:rsidRDefault="00CD28B5">
      <w:pPr>
        <w:ind w:left="-15" w:right="-6" w:firstLine="0"/>
      </w:pPr>
      <w:r>
        <w:t>Underlying this was a teleological image of the world, in which everything strove towards perfection. ‘Is’ and ‘ought’ were con</w:t>
      </w:r>
      <w:r>
        <w:t>nected: the correct laws could be deduced from the nature of things. Such thoughts were later rejected both in philosophy and in legal theory, before the crisis of legal positivism spurred a simultaneous return to Natural law and comparative law, and to Ar</w:t>
      </w:r>
      <w:r>
        <w:t xml:space="preserve">istotelian ideals, in the twentieth century. Once it could be shown that not only problems but also their solutions were similar, a return to a minimal version of Natural law or at least </w:t>
      </w:r>
      <w:r>
        <w:rPr>
          <w:i/>
        </w:rPr>
        <w:t>ius gentium</w:t>
      </w:r>
      <w:r>
        <w:t>, based on an Aristotelian notion of function, seemed poss</w:t>
      </w:r>
      <w:r>
        <w:t>ible. To this end, the revived rhetorical tradition of topics could be made fruitful.</w:t>
      </w:r>
      <w:r>
        <w:rPr>
          <w:b/>
          <w:vertAlign w:val="superscript"/>
        </w:rPr>
        <w:footnoteReference w:id="20"/>
      </w:r>
      <w:r>
        <w:t xml:space="preserve"> Topics, taking the role of problems, did not spur universal solutions by themselves, but inspired similar analyses that might lead to similar results. Comparative law b</w:t>
      </w:r>
      <w:r>
        <w:t>ecame phenomenological:</w:t>
      </w:r>
      <w:r>
        <w:rPr>
          <w:b/>
          <w:vertAlign w:val="superscript"/>
        </w:rPr>
        <w:footnoteReference w:id="21"/>
      </w:r>
      <w:r>
        <w:t xml:space="preserve"> Comparatists viewed the solutions in di</w:t>
      </w:r>
      <w:r>
        <w:rPr>
          <w:rFonts w:ascii="Calibri" w:eastAsia="Calibri" w:hAnsi="Calibri" w:cs="Calibri"/>
        </w:rPr>
        <w:t>ff</w:t>
      </w:r>
      <w:r>
        <w:t>erent legal systems as responses to common problems, contingent in their form but none the less required by the nature of the problem.</w:t>
      </w:r>
    </w:p>
    <w:p w:rsidR="007479CF" w:rsidRDefault="00CD28B5">
      <w:pPr>
        <w:spacing w:after="328"/>
        <w:ind w:left="-15" w:right="-6"/>
      </w:pPr>
      <w:r>
        <w:t>The most important theoretical treatise in this tradition and, at the same time, one of the most important works for func</w:t>
      </w:r>
      <w:r>
        <w:t>tionalist comparative law is Josef Esser’s book on principles and rules in judicial lawmaking.</w:t>
      </w:r>
      <w:r>
        <w:rPr>
          <w:b/>
          <w:vertAlign w:val="superscript"/>
        </w:rPr>
        <w:footnoteReference w:id="22"/>
      </w:r>
      <w:r>
        <w:t xml:space="preserve"> Esser’s functionalism is </w:t>
      </w:r>
      <w:r>
        <w:lastRenderedPageBreak/>
        <w:t xml:space="preserve">richer and more sophisticated than the one developed later by Zweigert, but its central elements are strikingly similar: Institutions </w:t>
      </w:r>
      <w:r>
        <w:t xml:space="preserve">are contingent while problems are universal, the function can serve as </w:t>
      </w:r>
      <w:r>
        <w:rPr>
          <w:i/>
        </w:rPr>
        <w:t>tertium comparationis</w:t>
      </w:r>
      <w:r>
        <w:t>, di</w:t>
      </w:r>
      <w:r>
        <w:rPr>
          <w:rFonts w:ascii="Calibri" w:eastAsia="Calibri" w:hAnsi="Calibri" w:cs="Calibri"/>
        </w:rPr>
        <w:t>ff</w:t>
      </w:r>
      <w:r>
        <w:t xml:space="preserve">erent legal systems </w:t>
      </w:r>
      <w:r>
        <w:rPr>
          <w:rFonts w:ascii="Calibri" w:eastAsia="Calibri" w:hAnsi="Calibri" w:cs="Calibri"/>
        </w:rPr>
        <w:t>fi</w:t>
      </w:r>
      <w:r>
        <w:t>nd similar solutions by di</w:t>
      </w:r>
      <w:r>
        <w:rPr>
          <w:rFonts w:ascii="Calibri" w:eastAsia="Calibri" w:hAnsi="Calibri" w:cs="Calibri"/>
        </w:rPr>
        <w:t>ff</w:t>
      </w:r>
      <w:r>
        <w:t>erent means, so universal principles of law can be found and formulated as a system with its own terminology</w:t>
      </w:r>
      <w:r>
        <w:t>.</w:t>
      </w:r>
      <w:r>
        <w:rPr>
          <w:b/>
          <w:vertAlign w:val="superscript"/>
        </w:rPr>
        <w:footnoteReference w:id="23"/>
      </w:r>
      <w:r>
        <w:t xml:space="preserve"> The reason for the similarity is that solutions are deemed inherent in problems and arguments can be made from the </w:t>
      </w:r>
      <w:r>
        <w:rPr>
          <w:i/>
        </w:rPr>
        <w:t>Natur der Sache</w:t>
      </w:r>
      <w:r>
        <w:t xml:space="preserve"> (the thing’s nature); a commonality of values is both the basis for and the consequence of this. Another comparatist, mor</w:t>
      </w:r>
      <w:r>
        <w:t>e openly in the tradition of Aristotle and Thomas Aquinas, is James Gordley.</w:t>
      </w:r>
      <w:r>
        <w:rPr>
          <w:b/>
          <w:vertAlign w:val="superscript"/>
        </w:rPr>
        <w:footnoteReference w:id="24"/>
      </w:r>
      <w:r>
        <w:t xml:space="preserve"> His general approach is more philosophical than Esser’s, but in e</w:t>
      </w:r>
      <w:r>
        <w:rPr>
          <w:rFonts w:ascii="Calibri" w:eastAsia="Calibri" w:hAnsi="Calibri" w:cs="Calibri"/>
        </w:rPr>
        <w:t>ff</w:t>
      </w:r>
      <w:r>
        <w:t xml:space="preserve">ect quite similar: Gordley </w:t>
      </w:r>
      <w:r>
        <w:rPr>
          <w:rFonts w:ascii="Calibri" w:eastAsia="Calibri" w:hAnsi="Calibri" w:cs="Calibri"/>
        </w:rPr>
        <w:t></w:t>
      </w:r>
    </w:p>
    <w:p w:rsidR="007479CF" w:rsidRDefault="00CD28B5">
      <w:pPr>
        <w:ind w:left="-15" w:right="-6" w:firstLine="0"/>
      </w:pPr>
      <w:r>
        <w:t>also sees di</w:t>
      </w:r>
      <w:r>
        <w:rPr>
          <w:rFonts w:ascii="Calibri" w:eastAsia="Calibri" w:hAnsi="Calibri" w:cs="Calibri"/>
        </w:rPr>
        <w:t>ff</w:t>
      </w:r>
      <w:r>
        <w:t>erent laws as di</w:t>
      </w:r>
      <w:r>
        <w:rPr>
          <w:rFonts w:ascii="Calibri" w:eastAsia="Calibri" w:hAnsi="Calibri" w:cs="Calibri"/>
        </w:rPr>
        <w:t>ff</w:t>
      </w:r>
      <w:r>
        <w:t>erent responses to the same, universal problems</w:t>
      </w:r>
      <w:r>
        <w:t>.</w:t>
      </w:r>
      <w:r>
        <w:rPr>
          <w:b/>
          <w:vertAlign w:val="superscript"/>
        </w:rPr>
        <w:footnoteReference w:id="25"/>
      </w:r>
      <w:r>
        <w:t>Neo-Aristotelians postulate that comparative law can lead us to universal, common legal principles. Di</w:t>
      </w:r>
      <w:r>
        <w:rPr>
          <w:rFonts w:ascii="Calibri" w:eastAsia="Calibri" w:hAnsi="Calibri" w:cs="Calibri"/>
        </w:rPr>
        <w:t>ff</w:t>
      </w:r>
      <w:r>
        <w:t>erent laws provide answers to similar problems that are doctrinally (formally) di</w:t>
      </w:r>
      <w:r>
        <w:rPr>
          <w:rFonts w:ascii="Calibri" w:eastAsia="Calibri" w:hAnsi="Calibri" w:cs="Calibri"/>
        </w:rPr>
        <w:t>ff</w:t>
      </w:r>
      <w:r>
        <w:t>erent but substantively similar, and their relative similarity sug</w:t>
      </w:r>
      <w:r>
        <w:t xml:space="preserve">gests inherently correct solutions to these problems—a Natural law, a </w:t>
      </w:r>
      <w:r>
        <w:rPr>
          <w:i/>
        </w:rPr>
        <w:t>ius commune</w:t>
      </w:r>
      <w:r>
        <w:t xml:space="preserve"> (Gordley), a </w:t>
      </w:r>
      <w:r>
        <w:rPr>
          <w:i/>
        </w:rPr>
        <w:t>ius gentium</w:t>
      </w:r>
      <w:r>
        <w:t xml:space="preserve"> (Esser), or ‘universal legal principles’ (Troller).</w:t>
      </w:r>
    </w:p>
    <w:p w:rsidR="007479CF" w:rsidRDefault="00CD28B5">
      <w:pPr>
        <w:spacing w:after="734"/>
        <w:ind w:left="-15" w:right="-6"/>
      </w:pPr>
      <w:r>
        <w:t>Both Esser and Gordley call their approaches functional, and both have been in</w:t>
      </w:r>
      <w:r>
        <w:rPr>
          <w:rFonts w:ascii="Calibri" w:eastAsia="Calibri" w:hAnsi="Calibri" w:cs="Calibri"/>
        </w:rPr>
        <w:t>fl</w:t>
      </w:r>
      <w:r>
        <w:t>uential in functi</w:t>
      </w:r>
      <w:r>
        <w:t>onalist comparative law. But they use function in a very speci</w:t>
      </w:r>
      <w:r>
        <w:rPr>
          <w:rFonts w:ascii="Calibri" w:eastAsia="Calibri" w:hAnsi="Calibri" w:cs="Calibri"/>
        </w:rPr>
        <w:t>fi</w:t>
      </w:r>
      <w:r>
        <w:t xml:space="preserve">c sense: For them it is synonymous with purpose and </w:t>
      </w:r>
      <w:r>
        <w:rPr>
          <w:i/>
        </w:rPr>
        <w:t xml:space="preserve">causa </w:t>
      </w:r>
      <w:r>
        <w:rPr>
          <w:rFonts w:ascii="Calibri" w:eastAsia="Calibri" w:hAnsi="Calibri" w:cs="Calibri"/>
          <w:i/>
        </w:rPr>
        <w:t>fi</w:t>
      </w:r>
      <w:r>
        <w:rPr>
          <w:i/>
        </w:rPr>
        <w:t>nalis</w:t>
      </w:r>
      <w:r>
        <w:t>. This is quite di</w:t>
      </w:r>
      <w:r>
        <w:rPr>
          <w:rFonts w:ascii="Calibri" w:eastAsia="Calibri" w:hAnsi="Calibri" w:cs="Calibri"/>
        </w:rPr>
        <w:t>ff</w:t>
      </w:r>
      <w:r>
        <w:t>erent from the modern notion of function as developed by Durkheim. Durkheim explicitly distinguished an ins</w:t>
      </w:r>
      <w:r>
        <w:t xml:space="preserve">titution’s functions from its cause and from its nature, rejected the Aristotelian fourfold concept of </w:t>
      </w:r>
      <w:r>
        <w:rPr>
          <w:i/>
        </w:rPr>
        <w:t>causa</w:t>
      </w:r>
      <w:r>
        <w:t xml:space="preserve"> by con</w:t>
      </w:r>
      <w:r>
        <w:rPr>
          <w:rFonts w:ascii="Calibri" w:eastAsia="Calibri" w:hAnsi="Calibri" w:cs="Calibri"/>
        </w:rPr>
        <w:t>fi</w:t>
      </w:r>
      <w:r>
        <w:t xml:space="preserve">ning ‘cause’ to </w:t>
      </w:r>
      <w:r>
        <w:rPr>
          <w:i/>
        </w:rPr>
        <w:t>causa e</w:t>
      </w:r>
      <w:r>
        <w:rPr>
          <w:rFonts w:ascii="Calibri" w:eastAsia="Calibri" w:hAnsi="Calibri" w:cs="Calibri"/>
          <w:i/>
        </w:rPr>
        <w:t>ffi</w:t>
      </w:r>
      <w:r>
        <w:rPr>
          <w:i/>
        </w:rPr>
        <w:t>ciens</w:t>
      </w:r>
      <w:r>
        <w:t>, and replacing end or goal (</w:t>
      </w:r>
      <w:r>
        <w:rPr>
          <w:i/>
        </w:rPr>
        <w:t xml:space="preserve">causa </w:t>
      </w:r>
      <w:r>
        <w:rPr>
          <w:rFonts w:ascii="Calibri" w:eastAsia="Calibri" w:hAnsi="Calibri" w:cs="Calibri"/>
          <w:i/>
        </w:rPr>
        <w:t>fi</w:t>
      </w:r>
      <w:r>
        <w:rPr>
          <w:i/>
        </w:rPr>
        <w:t>nalis</w:t>
      </w:r>
      <w:r>
        <w:t>) with function.</w:t>
      </w:r>
      <w:r>
        <w:rPr>
          <w:b/>
          <w:vertAlign w:val="superscript"/>
        </w:rPr>
        <w:footnoteReference w:id="26"/>
      </w:r>
      <w:r>
        <w:t>Since then, the function of a thing (or a law) is normally separated not only from the reasons for its origin and evolution,</w:t>
      </w:r>
      <w:r>
        <w:rPr>
          <w:b/>
          <w:vertAlign w:val="superscript"/>
        </w:rPr>
        <w:footnoteReference w:id="27"/>
      </w:r>
      <w:r>
        <w:t xml:space="preserve"> but also from its essence; functional relations are separate from the things themselves. Esser’s and </w:t>
      </w:r>
      <w:r>
        <w:lastRenderedPageBreak/>
        <w:t>Gordley’s functionalisms are</w:t>
      </w:r>
      <w:r>
        <w:t xml:space="preserve"> di</w:t>
      </w:r>
      <w:r>
        <w:rPr>
          <w:rFonts w:ascii="Calibri" w:eastAsia="Calibri" w:hAnsi="Calibri" w:cs="Calibri"/>
        </w:rPr>
        <w:t>ff</w:t>
      </w:r>
      <w:r>
        <w:t>erent; they must be understood against the background of Aristotelian ontology and metaphysics and answer the criticisms brought forward against these.</w:t>
      </w:r>
    </w:p>
    <w:p w:rsidR="007479CF" w:rsidRDefault="00CD28B5">
      <w:pPr>
        <w:pStyle w:val="Heading2"/>
        <w:ind w:left="-5"/>
      </w:pPr>
      <w:r>
        <w:rPr>
          <w:rFonts w:ascii="Calibri" w:eastAsia="Calibri" w:hAnsi="Calibri" w:cs="Calibri"/>
        </w:rPr>
        <w:t></w:t>
      </w:r>
      <w:r>
        <w:t>. Adaptionism</w:t>
      </w:r>
    </w:p>
    <w:p w:rsidR="007479CF" w:rsidRDefault="00CD28B5">
      <w:pPr>
        <w:spacing w:after="308"/>
        <w:ind w:left="-15" w:right="-6" w:firstLine="0"/>
      </w:pPr>
      <w:r>
        <w:t>Darwinism discarded the Aristotelian worldview, but it did not simultaneously discar</w:t>
      </w:r>
      <w:r>
        <w:t>d the teleological view of the world.</w:t>
      </w:r>
      <w:r>
        <w:rPr>
          <w:b/>
          <w:vertAlign w:val="superscript"/>
        </w:rPr>
        <w:footnoteReference w:id="28"/>
      </w:r>
      <w:r>
        <w:t xml:space="preserve"> The </w:t>
      </w:r>
      <w:r>
        <w:rPr>
          <w:i/>
        </w:rPr>
        <w:t>telos</w:t>
      </w:r>
      <w:r>
        <w:t xml:space="preserve"> was now transferred into the world at large; the struggle of everyone against everyone was thought to contribute to the progress of the whole. Darwinian ideas in</w:t>
      </w:r>
      <w:r>
        <w:rPr>
          <w:rFonts w:ascii="Calibri" w:eastAsia="Calibri" w:hAnsi="Calibri" w:cs="Calibri"/>
        </w:rPr>
        <w:t>fl</w:t>
      </w:r>
      <w:r>
        <w:t>uenced all disciplines in the nineteenth ce</w:t>
      </w:r>
      <w:r>
        <w:t>ntury, including the new discipline of sociology and the concept of function within it. Auguste Comte, who gave sociology its name, introduced a vision of society as a complex organism which evolved as a whole, while its elements all performed certain func</w:t>
      </w:r>
      <w:r>
        <w:t xml:space="preserve">tions in this evolution. Herbert Spencer, closer to Darwinism, conceptualized society more as a struggle of all against all, but he also emphasized the important interplay between structures and their functions </w:t>
      </w:r>
      <w:r>
        <w:rPr>
          <w:rFonts w:ascii="Calibri" w:eastAsia="Calibri" w:hAnsi="Calibri" w:cs="Calibri"/>
        </w:rPr>
        <w:t></w:t>
      </w:r>
    </w:p>
    <w:p w:rsidR="007479CF" w:rsidRDefault="00CD28B5">
      <w:pPr>
        <w:ind w:left="-15" w:right="-6" w:firstLine="0"/>
      </w:pPr>
      <w:r>
        <w:t>for society.</w:t>
      </w:r>
      <w:r>
        <w:rPr>
          <w:b/>
          <w:vertAlign w:val="superscript"/>
        </w:rPr>
        <w:t>31</w:t>
      </w:r>
      <w:r>
        <w:t xml:space="preserve"> Not surprisingly, evolutio</w:t>
      </w:r>
      <w:r>
        <w:t>nist thought also in</w:t>
      </w:r>
      <w:r>
        <w:rPr>
          <w:rFonts w:ascii="Calibri" w:eastAsia="Calibri" w:hAnsi="Calibri" w:cs="Calibri"/>
        </w:rPr>
        <w:t>fl</w:t>
      </w:r>
      <w:r>
        <w:t>uenced lawyers of the time, none more perhaps than Jhering, who argued that law developed in response to the needs not of individuals but of society.</w:t>
      </w:r>
      <w:r>
        <w:rPr>
          <w:b/>
          <w:vertAlign w:val="superscript"/>
        </w:rPr>
        <w:footnoteReference w:id="29"/>
      </w:r>
      <w:r>
        <w:t xml:space="preserve"> For all these scholars, institutions like the law respond, adapt to social needs; </w:t>
      </w:r>
      <w:r>
        <w:t>those institutions that adapt best will survive.</w:t>
      </w:r>
    </w:p>
    <w:p w:rsidR="007479CF" w:rsidRDefault="00CD28B5">
      <w:pPr>
        <w:spacing w:after="329"/>
        <w:ind w:left="-15" w:right="-6"/>
      </w:pPr>
      <w:r>
        <w:t>This version of functionalism, which one may call adaptionism, seemed especially apt for comparative law.</w:t>
      </w:r>
      <w:r>
        <w:rPr>
          <w:b/>
          <w:vertAlign w:val="superscript"/>
        </w:rPr>
        <w:footnoteReference w:id="30"/>
      </w:r>
      <w:r>
        <w:t xml:space="preserve"> That </w:t>
      </w:r>
      <w:r>
        <w:rPr>
          <w:rFonts w:ascii="Calibri" w:eastAsia="Calibri" w:hAnsi="Calibri" w:cs="Calibri"/>
        </w:rPr>
        <w:t>fi</w:t>
      </w:r>
      <w:r>
        <w:t>eld had hitherto consisted largely of comparative legal history, understood as the history a</w:t>
      </w:r>
      <w:r>
        <w:t>nd di</w:t>
      </w:r>
      <w:r>
        <w:rPr>
          <w:rFonts w:ascii="Calibri" w:eastAsia="Calibri" w:hAnsi="Calibri" w:cs="Calibri"/>
        </w:rPr>
        <w:t>ff</w:t>
      </w:r>
      <w:r>
        <w:t>usion of ideas and doctrines. The new sociological interest in interrelations between law and society changed this focus. Now ideas about law were drawn neither from texts nor from the spirit of a particular people, but from general ideas about soci</w:t>
      </w:r>
      <w:r>
        <w:t xml:space="preserve">eties and their development. Consequently, generalization across borders became possible; comparative law could become a science of the way in which societies dealt with similar problems on their paths toward progress. Central to this new approach was the </w:t>
      </w:r>
      <w:r>
        <w:t xml:space="preserve">focus on the functions that both law at large and its individual institutions </w:t>
      </w:r>
      <w:r>
        <w:lastRenderedPageBreak/>
        <w:t>ful</w:t>
      </w:r>
      <w:r>
        <w:rPr>
          <w:rFonts w:ascii="Calibri" w:eastAsia="Calibri" w:hAnsi="Calibri" w:cs="Calibri"/>
        </w:rPr>
        <w:t>fi</w:t>
      </w:r>
      <w:r>
        <w:t>lled for society. An early example comes from Franz von Liszt, a supporter of a functional criminal law in the tradition of Beccaria (and a cousin to the famous composer). L</w:t>
      </w:r>
      <w:r>
        <w:t>iszt suggested that because punishment was necessary for maintenance of the legal order and because the legal order in turn was necessary for the maintenance and development of the state, criminal law norms had to be judged against their ability to maintai</w:t>
      </w:r>
      <w:r>
        <w:t>n the legal order.</w:t>
      </w:r>
      <w:r>
        <w:rPr>
          <w:b/>
          <w:vertAlign w:val="superscript"/>
        </w:rPr>
        <w:footnoteReference w:id="31"/>
      </w:r>
      <w:r>
        <w:t xml:space="preserve"> This function was useful for comparative law; it served as the </w:t>
      </w:r>
      <w:r>
        <w:rPr>
          <w:i/>
        </w:rPr>
        <w:t>tertium comparationis</w:t>
      </w:r>
      <w:r>
        <w:t xml:space="preserve"> for the (functional) comparison of criminal law in di</w:t>
      </w:r>
      <w:r>
        <w:rPr>
          <w:rFonts w:ascii="Calibri" w:eastAsia="Calibri" w:hAnsi="Calibri" w:cs="Calibri"/>
        </w:rPr>
        <w:t>ff</w:t>
      </w:r>
      <w:r>
        <w:t>erent legal orders.</w:t>
      </w:r>
      <w:r>
        <w:rPr>
          <w:b/>
          <w:vertAlign w:val="superscript"/>
        </w:rPr>
        <w:t>35</w:t>
      </w:r>
      <w:r>
        <w:t xml:space="preserve"> Philipp Heck, the most important proponent of a jurisprudence of interest</w:t>
      </w:r>
      <w:r>
        <w:t>s, also argued for functionalist comparative law: Similarities of values among societies created laws di</w:t>
      </w:r>
      <w:r>
        <w:rPr>
          <w:rFonts w:ascii="Calibri" w:eastAsia="Calibri" w:hAnsi="Calibri" w:cs="Calibri"/>
        </w:rPr>
        <w:t>ff</w:t>
      </w:r>
      <w:r>
        <w:t>erent in doctrine but similar in results.</w:t>
      </w:r>
      <w:r>
        <w:rPr>
          <w:b/>
          <w:vertAlign w:val="superscript"/>
        </w:rPr>
        <w:footnoteReference w:id="32"/>
      </w:r>
      <w:r>
        <w:t xml:space="preserve"> Also, Roscoe Pound, while not a strict functionalist himself, shared</w:t>
      </w:r>
    </w:p>
    <w:p w:rsidR="007479CF" w:rsidRDefault="00CD28B5">
      <w:pPr>
        <w:spacing w:after="4" w:line="248" w:lineRule="auto"/>
        <w:ind w:left="-15" w:firstLine="165"/>
      </w:pPr>
      <w:r>
        <w:rPr>
          <w:b/>
          <w:sz w:val="18"/>
          <w:vertAlign w:val="superscript"/>
        </w:rPr>
        <w:t xml:space="preserve">31 </w:t>
      </w:r>
      <w:r>
        <w:rPr>
          <w:sz w:val="18"/>
        </w:rPr>
        <w:t xml:space="preserve">cf Jonathan H. Turner and Alexandra Maryanski, </w:t>
      </w:r>
      <w:r>
        <w:rPr>
          <w:i/>
          <w:sz w:val="18"/>
        </w:rPr>
        <w:t>Functionalism</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Richard Münch, ‘Funktionalismus—Geschichte und Zukunftsperspektiven einer Theorietradition’</w:t>
      </w:r>
      <w:r>
        <w:rPr>
          <w:sz w:val="18"/>
        </w:rPr>
        <w:t xml:space="preserve">, in Jens Jetzkowitz and Carsten Stark (eds), </w:t>
      </w:r>
      <w:r>
        <w:rPr>
          <w:i/>
          <w:sz w:val="18"/>
        </w:rPr>
        <w:t>Soziologischer Funktionalismus</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w:t>
      </w:r>
    </w:p>
    <w:p w:rsidR="007479CF" w:rsidRDefault="00CD28B5">
      <w:pPr>
        <w:spacing w:after="323" w:line="274" w:lineRule="auto"/>
        <w:ind w:left="10" w:right="-5" w:hanging="10"/>
        <w:jc w:val="right"/>
      </w:pPr>
      <w:r>
        <w:rPr>
          <w:rFonts w:ascii="Calibri" w:eastAsia="Calibri" w:hAnsi="Calibri" w:cs="Calibri"/>
        </w:rPr>
        <w:t></w:t>
      </w:r>
    </w:p>
    <w:p w:rsidR="007479CF" w:rsidRDefault="00CD28B5">
      <w:pPr>
        <w:ind w:left="-15" w:right="-6" w:firstLine="0"/>
      </w:pPr>
      <w:r>
        <w:t>some of functionalism’s convictions. Pound was interested in ‘law in action, not law in the books’</w:t>
      </w:r>
      <w:r>
        <w:rPr>
          <w:b/>
          <w:vertAlign w:val="superscript"/>
        </w:rPr>
        <w:footnoteReference w:id="33"/>
      </w:r>
      <w:r>
        <w:t xml:space="preserve"> and in ‘how the same things may be brought about, the sa</w:t>
      </w:r>
      <w:r>
        <w:t>me problem may be met by one legal institution or doctrine or precept in one body of law and by another, quite di</w:t>
      </w:r>
      <w:r>
        <w:rPr>
          <w:rFonts w:ascii="Calibri" w:eastAsia="Calibri" w:hAnsi="Calibri" w:cs="Calibri"/>
        </w:rPr>
        <w:t>ff</w:t>
      </w:r>
      <w:r>
        <w:t>erent institution or doctrine or precept in another’</w:t>
      </w:r>
      <w:r>
        <w:rPr>
          <w:b/>
          <w:vertAlign w:val="superscript"/>
        </w:rPr>
        <w:footnoteReference w:id="34"/>
      </w:r>
      <w:r>
        <w:t>—both central elements of functionalist comparative law.</w:t>
      </w:r>
    </w:p>
    <w:p w:rsidR="007479CF" w:rsidRDefault="00CD28B5">
      <w:pPr>
        <w:spacing w:after="692"/>
        <w:ind w:left="-15" w:right="-6"/>
      </w:pPr>
      <w:r>
        <w:t>Today, after the catastrophe o</w:t>
      </w:r>
      <w:r>
        <w:t>f two world wars has rattled the faith both in teleological evolutionism and in progress through law, adaptionism survives in only a very reduced form. In political science it is used in some integration studies as an explanation of convergence, especially</w:t>
      </w:r>
      <w:r>
        <w:t xml:space="preserve"> of the European Union.</w:t>
      </w:r>
      <w:r>
        <w:rPr>
          <w:b/>
          <w:vertAlign w:val="superscript"/>
        </w:rPr>
        <w:footnoteReference w:id="35"/>
      </w:r>
      <w:r>
        <w:t xml:space="preserve"> But the </w:t>
      </w:r>
      <w:r>
        <w:lastRenderedPageBreak/>
        <w:t xml:space="preserve">loss of teleology and awareness of the complexity of the world have made the simple functionalism of means and ends harder to justify both as an explanatory theory and as a guiding principle. Adaptionism seemed to suggest </w:t>
      </w:r>
      <w:r>
        <w:t>a false determinism.</w:t>
      </w:r>
      <w:r>
        <w:rPr>
          <w:b/>
          <w:vertAlign w:val="superscript"/>
        </w:rPr>
        <w:footnoteReference w:id="36"/>
      </w:r>
      <w:r>
        <w:t xml:space="preserve"> Evolutionary functionalism in political science has therefore been called ideological and ethnocentric, a criticism replicated in reference to comparative law.</w:t>
      </w:r>
      <w:r>
        <w:rPr>
          <w:b/>
          <w:vertAlign w:val="superscript"/>
        </w:rPr>
        <w:footnoteReference w:id="37"/>
      </w:r>
    </w:p>
    <w:p w:rsidR="007479CF" w:rsidRDefault="00CD28B5">
      <w:pPr>
        <w:pStyle w:val="Heading2"/>
        <w:ind w:left="-5"/>
      </w:pPr>
      <w:r>
        <w:rPr>
          <w:rFonts w:ascii="Calibri" w:eastAsia="Calibri" w:hAnsi="Calibri" w:cs="Calibri"/>
        </w:rPr>
        <w:t></w:t>
      </w:r>
      <w:r>
        <w:t>. Classical Functionalism</w:t>
      </w:r>
    </w:p>
    <w:p w:rsidR="007479CF" w:rsidRDefault="00CD28B5">
      <w:pPr>
        <w:spacing w:after="273"/>
        <w:ind w:left="-15" w:right="-6" w:firstLine="0"/>
      </w:pPr>
      <w:r>
        <w:t>Sociologists interested in a value-free soci</w:t>
      </w:r>
      <w:r>
        <w:t>ological science perceived this as an illegitimate faith in progress and tried to develop a non-teleological functionalism instead. These e</w:t>
      </w:r>
      <w:r>
        <w:rPr>
          <w:rFonts w:ascii="Calibri" w:eastAsia="Calibri" w:hAnsi="Calibri" w:cs="Calibri"/>
        </w:rPr>
        <w:t>ff</w:t>
      </w:r>
      <w:r>
        <w:t>orts can be traced back to Émile Durkheim, who introduced two important ideas. First, he separated functions from o</w:t>
      </w:r>
      <w:r>
        <w:t>rigins and established functions as relations between, not qualities of, elements. Second, he emphasized that the goals of individuals were contingent and therefore not the valid material of scienti</w:t>
      </w:r>
      <w:r>
        <w:rPr>
          <w:rFonts w:ascii="Calibri" w:eastAsia="Calibri" w:hAnsi="Calibri" w:cs="Calibri"/>
        </w:rPr>
        <w:t>fi</w:t>
      </w:r>
      <w:r>
        <w:t>c endeavours; sociology as a science had to focus on obj</w:t>
      </w:r>
      <w:r>
        <w:t>ective functions.</w:t>
      </w:r>
      <w:r>
        <w:rPr>
          <w:b/>
          <w:vertAlign w:val="superscript"/>
        </w:rPr>
        <w:footnoteReference w:id="38"/>
      </w:r>
      <w:r>
        <w:t>Both steps had crucial implications. As long as the ends or goals of an institution</w:t>
      </w:r>
    </w:p>
    <w:p w:rsidR="007479CF" w:rsidRDefault="00CD28B5">
      <w:pPr>
        <w:spacing w:after="4" w:line="248" w:lineRule="auto"/>
        <w:ind w:left="-15" w:firstLine="0"/>
      </w:pPr>
      <w:r>
        <w:rPr>
          <w:sz w:val="18"/>
        </w:rPr>
        <w:t>property book by Max Rheinstein,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Juristische Wochenschrift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‘Die Rechtsvergleichung ist eine notwendige Ergänzung und Weiterführung </w:t>
      </w:r>
      <w:r>
        <w:rPr>
          <w:sz w:val="18"/>
        </w:rPr>
        <w:t xml:space="preserve">der Interessenjurisprudenz’ (comparative law is a necessary supplement and continuation of jurisprudence of interests). See also Heinrich Schoppmeyer, </w:t>
      </w:r>
      <w:r>
        <w:rPr>
          <w:i/>
          <w:sz w:val="18"/>
        </w:rPr>
        <w:t>Juristische Methode als Lebensaufgabe</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 xml:space="preserve"> </w:t>
      </w:r>
      <w:r>
        <w:rPr>
          <w:sz w:val="18"/>
        </w:rPr>
        <w:t xml:space="preserve">f with n </w:t>
      </w:r>
      <w:r>
        <w:rPr>
          <w:rFonts w:ascii="Calibri" w:eastAsia="Calibri" w:hAnsi="Calibri" w:cs="Calibri"/>
          <w:sz w:val="18"/>
        </w:rPr>
        <w:t></w:t>
      </w:r>
      <w:r>
        <w:rPr>
          <w:sz w:val="18"/>
        </w:rPr>
        <w:t>.</w:t>
      </w:r>
    </w:p>
    <w:p w:rsidR="007479CF" w:rsidRDefault="00CD28B5">
      <w:pPr>
        <w:pStyle w:val="Heading3"/>
        <w:ind w:left="-5"/>
      </w:pPr>
      <w:r>
        <w:t></w:t>
      </w:r>
    </w:p>
    <w:p w:rsidR="007479CF" w:rsidRDefault="00CD28B5">
      <w:pPr>
        <w:spacing w:after="33"/>
        <w:ind w:left="-15" w:right="-6" w:firstLine="0"/>
      </w:pPr>
      <w:r>
        <w:t>had been its inherent elements, any ex</w:t>
      </w:r>
      <w:r>
        <w:t>planation had to be teleological, and an analysis would have to focus either on the will of a transcendent creator or on the inherent nature of things. If institutions were de</w:t>
      </w:r>
      <w:r>
        <w:rPr>
          <w:rFonts w:ascii="Calibri" w:eastAsia="Calibri" w:hAnsi="Calibri" w:cs="Calibri"/>
        </w:rPr>
        <w:t>fi</w:t>
      </w:r>
      <w:r>
        <w:t>ned by the purposes de</w:t>
      </w:r>
      <w:r>
        <w:rPr>
          <w:rFonts w:ascii="Calibri" w:eastAsia="Calibri" w:hAnsi="Calibri" w:cs="Calibri"/>
        </w:rPr>
        <w:t>fi</w:t>
      </w:r>
      <w:r>
        <w:t xml:space="preserve">ned by their creators, a systematic analysis had to be </w:t>
      </w:r>
      <w:r>
        <w:t>impossible, for individual goals were hard to observe as well as arbitrary and contingent. The emphasis on objective functions on the other hand, distinct from both origin and purpose, allowed the search for general laws, the goal of all sciences. Still, D</w:t>
      </w:r>
      <w:r>
        <w:t>urkheim did think an institution’s existence and its function interrelated. On the one hand, causes often determine functions: An institution is established in order to maintain a certain status quo, and it then ful</w:t>
      </w:r>
      <w:r>
        <w:rPr>
          <w:rFonts w:ascii="Calibri" w:eastAsia="Calibri" w:hAnsi="Calibri" w:cs="Calibri"/>
        </w:rPr>
        <w:t>fi</w:t>
      </w:r>
      <w:r>
        <w:t>ls that function. On the other hand, fu</w:t>
      </w:r>
      <w:r>
        <w:t xml:space="preserve">nctions </w:t>
      </w:r>
      <w:r>
        <w:lastRenderedPageBreak/>
        <w:t>often determine if not the origin then at least the persistence of institutions:</w:t>
      </w:r>
      <w:r>
        <w:rPr>
          <w:b/>
          <w:vertAlign w:val="superscript"/>
        </w:rPr>
        <w:footnoteReference w:id="39"/>
      </w:r>
      <w:r>
        <w:t xml:space="preserve"> Dysfunctional institutions cannot compete with more e</w:t>
      </w:r>
      <w:r>
        <w:rPr>
          <w:rFonts w:ascii="Calibri" w:eastAsia="Calibri" w:hAnsi="Calibri" w:cs="Calibri"/>
        </w:rPr>
        <w:t>ffi</w:t>
      </w:r>
      <w:r>
        <w:t>cient institutions, societies with wasteful, dysfunctional institutions cannot survive.</w:t>
      </w:r>
      <w:r>
        <w:rPr>
          <w:b/>
          <w:vertAlign w:val="superscript"/>
        </w:rPr>
        <w:footnoteReference w:id="40"/>
      </w:r>
    </w:p>
    <w:p w:rsidR="007479CF" w:rsidRDefault="00CD28B5">
      <w:pPr>
        <w:ind w:left="-15" w:right="-6"/>
      </w:pPr>
      <w:r>
        <w:t>Several elements of Durkheim’</w:t>
      </w:r>
      <w:r>
        <w:t>s functionalism reappear in functionalist comparative law: the scienti</w:t>
      </w:r>
      <w:r>
        <w:rPr>
          <w:rFonts w:ascii="Calibri" w:eastAsia="Calibri" w:hAnsi="Calibri" w:cs="Calibri"/>
        </w:rPr>
        <w:t>fi</w:t>
      </w:r>
      <w:r>
        <w:t>c character and objectivity of research, a perception of society as a whole that transcends the sum of its parts because its elements are interrelated, the idea that societies have nee</w:t>
      </w:r>
      <w:r>
        <w:t>ds, the idea that law can be understood in terms of the needs it meets, a focus on observable facts rather than individual ideas (law in action versus law in the books), the discovered similarity of institutions of di</w:t>
      </w:r>
      <w:r>
        <w:rPr>
          <w:rFonts w:ascii="Calibri" w:eastAsia="Calibri" w:hAnsi="Calibri" w:cs="Calibri"/>
        </w:rPr>
        <w:t>ff</w:t>
      </w:r>
      <w:r>
        <w:t xml:space="preserve">erent societies, and the competitive </w:t>
      </w:r>
      <w:r>
        <w:t xml:space="preserve">advantage of more functional institutions within one society’s law and of societies with better laws </w:t>
      </w:r>
      <w:r>
        <w:rPr>
          <w:i/>
        </w:rPr>
        <w:t>vis-á-vis</w:t>
      </w:r>
      <w:r>
        <w:t xml:space="preserve"> other societies. None the less, although Durkheim himself was a trained lawyer, his functionalism had less immediate impact on comparative law th</w:t>
      </w:r>
      <w:r>
        <w:t>an his concept of social facts. Saleilles followed Durkheim (and Weber) in maintaining that comparative law ‘cherche à dé</w:t>
      </w:r>
      <w:r>
        <w:rPr>
          <w:rFonts w:ascii="Calibri" w:eastAsia="Calibri" w:hAnsi="Calibri" w:cs="Calibri"/>
        </w:rPr>
        <w:t>fi</w:t>
      </w:r>
      <w:r>
        <w:t xml:space="preserve">nir le type d’idéal tout relatif qui se dégage de la comparaison des législations, de leur </w:t>
      </w:r>
      <w:r>
        <w:rPr>
          <w:i/>
        </w:rPr>
        <w:t>fonctionnement</w:t>
      </w:r>
      <w:r>
        <w:t xml:space="preserve"> et de leurs résultats’ and </w:t>
      </w:r>
      <w:r>
        <w:t>in emphasizing ‘l’unité des résultats dans la diversité des formes juridiques d’application’.</w:t>
      </w:r>
      <w:r>
        <w:rPr>
          <w:b/>
          <w:vertAlign w:val="superscript"/>
        </w:rPr>
        <w:footnoteReference w:id="41"/>
      </w:r>
      <w:r>
        <w:t xml:space="preserve"> But most comparatists in the Durkheimian tradition focused rather on a non-teleological comparative legal history than on functional analysis</w:t>
      </w:r>
      <w:r>
        <w:rPr>
          <w:b/>
          <w:vertAlign w:val="superscript"/>
        </w:rPr>
        <w:footnoteReference w:id="42"/>
      </w:r>
      <w:r>
        <w:t xml:space="preserve"> and opposed more</w:t>
      </w:r>
      <w:r>
        <w:t xml:space="preserve"> functionalist versions of comparative law.</w:t>
      </w:r>
      <w:r>
        <w:rPr>
          <w:b/>
          <w:vertAlign w:val="superscript"/>
        </w:rPr>
        <w:footnoteReference w:id="43"/>
      </w:r>
    </w:p>
    <w:p w:rsidR="007479CF" w:rsidRDefault="00CD28B5">
      <w:pPr>
        <w:spacing w:after="372" w:line="274" w:lineRule="auto"/>
        <w:ind w:left="10" w:right="-5" w:hanging="10"/>
        <w:jc w:val="right"/>
      </w:pPr>
      <w:r>
        <w:rPr>
          <w:rFonts w:ascii="Calibri" w:eastAsia="Calibri" w:hAnsi="Calibri" w:cs="Calibri"/>
        </w:rPr>
        <w:t></w:t>
      </w:r>
    </w:p>
    <w:p w:rsidR="007479CF" w:rsidRDefault="00CD28B5">
      <w:pPr>
        <w:pStyle w:val="Heading2"/>
        <w:ind w:left="-5"/>
      </w:pPr>
      <w:r>
        <w:rPr>
          <w:rFonts w:ascii="Calibri" w:eastAsia="Calibri" w:hAnsi="Calibri" w:cs="Calibri"/>
        </w:rPr>
        <w:t></w:t>
      </w:r>
      <w:r>
        <w:t>. Instrumentalism</w:t>
      </w:r>
    </w:p>
    <w:p w:rsidR="007479CF" w:rsidRDefault="00CD28B5">
      <w:pPr>
        <w:ind w:left="-15" w:right="-6" w:firstLine="0"/>
      </w:pPr>
      <w:r>
        <w:t>One reason why comparatists lacked interest in Durkheimian sociology may have been that they did not share the social scientists’ fear of normativity. Instead, comparatists embraced an o</w:t>
      </w:r>
      <w:r>
        <w:rPr>
          <w:rFonts w:ascii="Calibri" w:eastAsia="Calibri" w:hAnsi="Calibri" w:cs="Calibri"/>
        </w:rPr>
        <w:t>f</w:t>
      </w:r>
      <w:r>
        <w:rPr>
          <w:rFonts w:ascii="Calibri" w:eastAsia="Calibri" w:hAnsi="Calibri" w:cs="Calibri"/>
        </w:rPr>
        <w:t>f</w:t>
      </w:r>
      <w:r>
        <w:t>spring of adaptionism that was popular in law: instrumentalism. If law ful</w:t>
      </w:r>
      <w:r>
        <w:rPr>
          <w:rFonts w:ascii="Calibri" w:eastAsia="Calibri" w:hAnsi="Calibri" w:cs="Calibri"/>
        </w:rPr>
        <w:t>fi</w:t>
      </w:r>
      <w:r>
        <w:t>ls functions and meets societal needs, then the lawyer’s job is to develop laws that perform these tasks (‘social engineering’), and comparative law can help compare the ability o</w:t>
      </w:r>
      <w:r>
        <w:t>f di</w:t>
      </w:r>
      <w:r>
        <w:rPr>
          <w:rFonts w:ascii="Calibri" w:eastAsia="Calibri" w:hAnsi="Calibri" w:cs="Calibri"/>
        </w:rPr>
        <w:t>ff</w:t>
      </w:r>
      <w:r>
        <w:t>erent solutions to solve similar problems, and spur similar degrees of progress.</w:t>
      </w:r>
    </w:p>
    <w:p w:rsidR="007479CF" w:rsidRDefault="00CD28B5">
      <w:pPr>
        <w:ind w:left="-15" w:right="-6"/>
      </w:pPr>
      <w:r>
        <w:t>These ideas, which can be found already in Jhering’s work, became prevalent in legal realism. Realism made functionalism fashionable not only in academic writing but als</w:t>
      </w:r>
      <w:r>
        <w:t>o for curriculum reform proposals.</w:t>
      </w:r>
      <w:r>
        <w:rPr>
          <w:b/>
          <w:vertAlign w:val="superscript"/>
        </w:rPr>
        <w:footnoteReference w:id="44"/>
      </w:r>
      <w:r>
        <w:t xml:space="preserve"> One strand of realism starts from the sociological concept of function, but then translates objective functions </w:t>
      </w:r>
      <w:r>
        <w:lastRenderedPageBreak/>
        <w:t>into purposes to be set by legislatures. These realists substitute teleological analysis for Durkheim’s obj</w:t>
      </w:r>
      <w:r>
        <w:t>ective science, and they assume that the e</w:t>
      </w:r>
      <w:r>
        <w:rPr>
          <w:rFonts w:ascii="Calibri" w:eastAsia="Calibri" w:hAnsi="Calibri" w:cs="Calibri"/>
        </w:rPr>
        <w:t>ff</w:t>
      </w:r>
      <w:r>
        <w:t>ect of laws on society can be both measured and controlled. While American legal realists remained surprisingly uninterested in comparative law, European comparative law was in</w:t>
      </w:r>
      <w:r>
        <w:rPr>
          <w:rFonts w:ascii="Calibri" w:eastAsia="Calibri" w:hAnsi="Calibri" w:cs="Calibri"/>
        </w:rPr>
        <w:t>fl</w:t>
      </w:r>
      <w:r>
        <w:t>uenced. Zweigert and Kötz put it b</w:t>
      </w:r>
      <w:r>
        <w:t>luntly: ‘Law is “social engineering” and legal science is a social science. Comparative lawyers recognize this: it is, indeed, the intellectual and methodological starting point of their discipline.’</w:t>
      </w:r>
      <w:r>
        <w:rPr>
          <w:b/>
          <w:vertAlign w:val="superscript"/>
        </w:rPr>
        <w:footnoteReference w:id="45"/>
      </w:r>
      <w:r>
        <w:t xml:space="preserve"> Such ideas became especially attractive to the law and</w:t>
      </w:r>
      <w:r>
        <w:t xml:space="preserve"> development movement, which hoped to use law in order to aid the economic progress of developing countries—a combination of the Darwinian faith in progress and teleology with the instrumentalist’s hope placed in law. Such ideas, out of fashion for some ti</w:t>
      </w:r>
      <w:r>
        <w:t>me,</w:t>
      </w:r>
      <w:r>
        <w:rPr>
          <w:b/>
          <w:vertAlign w:val="superscript"/>
        </w:rPr>
        <w:footnoteReference w:id="46"/>
      </w:r>
      <w:r>
        <w:t xml:space="preserve"> have recently been revitalized, speci</w:t>
      </w:r>
      <w:r>
        <w:rPr>
          <w:rFonts w:ascii="Calibri" w:eastAsia="Calibri" w:hAnsi="Calibri" w:cs="Calibri"/>
        </w:rPr>
        <w:t>fi</w:t>
      </w:r>
      <w:r>
        <w:t>cally for former communist economies, generally in the World Bank’s ‘Doing Business’ project.</w:t>
      </w:r>
      <w:r>
        <w:rPr>
          <w:b/>
          <w:vertAlign w:val="superscript"/>
        </w:rPr>
        <w:footnoteReference w:id="47"/>
      </w:r>
      <w:r>
        <w:t xml:space="preserve"> Yet they face problems.</w:t>
      </w:r>
      <w:r>
        <w:rPr>
          <w:b/>
          <w:vertAlign w:val="superscript"/>
        </w:rPr>
        <w:footnoteReference w:id="48"/>
      </w:r>
      <w:r>
        <w:t xml:space="preserve"> First, researchers frequently place naïve faith in both the mono-functionality and e</w:t>
      </w:r>
      <w:r>
        <w:rPr>
          <w:rFonts w:ascii="Calibri" w:eastAsia="Calibri" w:hAnsi="Calibri" w:cs="Calibri"/>
        </w:rPr>
        <w:t>ff</w:t>
      </w:r>
      <w:r>
        <w:t>ect</w:t>
      </w:r>
      <w:r>
        <w:t>iveness of legal institutions. Second, they are often insu</w:t>
      </w:r>
      <w:r>
        <w:rPr>
          <w:rFonts w:ascii="Calibri" w:eastAsia="Calibri" w:hAnsi="Calibri" w:cs="Calibri"/>
        </w:rPr>
        <w:t>ffi</w:t>
      </w:r>
      <w:r>
        <w:t>ciently aware of the non-legal elements of success or failure of societies, including cultural di</w:t>
      </w:r>
      <w:r>
        <w:rPr>
          <w:rFonts w:ascii="Calibri" w:eastAsia="Calibri" w:hAnsi="Calibri" w:cs="Calibri"/>
        </w:rPr>
        <w:t>ff</w:t>
      </w:r>
      <w:r>
        <w:t>erences.</w:t>
      </w:r>
      <w:r>
        <w:rPr>
          <w:b/>
          <w:vertAlign w:val="superscript"/>
        </w:rPr>
        <w:footnoteReference w:id="49"/>
      </w:r>
      <w:r>
        <w:t>Experience in domestic contexts has shown that social engineering through law is far m</w:t>
      </w:r>
      <w:r>
        <w:t>ore complex than one thought; the insight still has to make its way into comparative law.</w:t>
      </w:r>
      <w:r>
        <w:rPr>
          <w:b/>
          <w:vertAlign w:val="superscript"/>
        </w:rPr>
        <w:footnoteReference w:id="50"/>
      </w:r>
    </w:p>
    <w:p w:rsidR="007479CF" w:rsidRDefault="00CD28B5">
      <w:pPr>
        <w:spacing w:after="362" w:line="263" w:lineRule="auto"/>
        <w:ind w:left="-5" w:hanging="10"/>
        <w:jc w:val="left"/>
      </w:pPr>
      <w:r>
        <w:rPr>
          <w:rFonts w:ascii="Calibri" w:eastAsia="Calibri" w:hAnsi="Calibri" w:cs="Calibri"/>
        </w:rPr>
        <w:t></w:t>
      </w:r>
    </w:p>
    <w:p w:rsidR="007479CF" w:rsidRDefault="00CD28B5">
      <w:pPr>
        <w:pStyle w:val="Heading2"/>
        <w:ind w:left="-5"/>
      </w:pPr>
      <w:r>
        <w:rPr>
          <w:rFonts w:ascii="Calibri" w:eastAsia="Calibri" w:hAnsi="Calibri" w:cs="Calibri"/>
        </w:rPr>
        <w:t></w:t>
      </w:r>
      <w:r>
        <w:t>. Re</w:t>
      </w:r>
      <w:r>
        <w:rPr>
          <w:rFonts w:ascii="Calibri" w:eastAsia="Calibri" w:hAnsi="Calibri" w:cs="Calibri"/>
        </w:rPr>
        <w:t>fi</w:t>
      </w:r>
      <w:r>
        <w:t>ned Functionalism</w:t>
      </w:r>
    </w:p>
    <w:p w:rsidR="007479CF" w:rsidRDefault="00CD28B5">
      <w:pPr>
        <w:spacing w:after="34"/>
        <w:ind w:left="-15" w:right="-6" w:firstLine="0"/>
      </w:pPr>
      <w:r>
        <w:t>Developments in the social sciences also contributed to their disjunction from comparative law: sociological functionalism became more complex and thereby less useful for functionalist comparative law. The work of Radcli</w:t>
      </w:r>
      <w:r>
        <w:rPr>
          <w:rFonts w:ascii="Calibri" w:eastAsia="Calibri" w:hAnsi="Calibri" w:cs="Calibri"/>
        </w:rPr>
        <w:t>ff</w:t>
      </w:r>
      <w:r>
        <w:t xml:space="preserve">e-Browne, Malinowski, and Parsons </w:t>
      </w:r>
      <w:r>
        <w:t xml:space="preserve">has had little direct response in comparative law, mostly because their interest in a </w:t>
      </w:r>
      <w:r>
        <w:rPr>
          <w:i/>
        </w:rPr>
        <w:t>theory</w:t>
      </w:r>
      <w:r>
        <w:t xml:space="preserve"> of societal systems was not congruent with the search in comparative law for a </w:t>
      </w:r>
      <w:r>
        <w:rPr>
          <w:i/>
        </w:rPr>
        <w:t>method</w:t>
      </w:r>
      <w:r>
        <w:t>. But comparative lawyers have also ignored sociologists interested in functio</w:t>
      </w:r>
      <w:r>
        <w:t xml:space="preserve">nalism as a method. In particular, Robert </w:t>
      </w:r>
      <w:r>
        <w:lastRenderedPageBreak/>
        <w:t>Merton’s seminal text on latent functions should have shown the problems of translating functionalism into comparative law.</w:t>
      </w:r>
      <w:r>
        <w:rPr>
          <w:b/>
          <w:vertAlign w:val="superscript"/>
        </w:rPr>
        <w:footnoteReference w:id="51"/>
      </w:r>
    </w:p>
    <w:p w:rsidR="007479CF" w:rsidRDefault="00CD28B5">
      <w:pPr>
        <w:ind w:left="-15" w:right="-6"/>
      </w:pPr>
      <w:r>
        <w:t>First, Merton introduces the important distinction between manifest functions (functions</w:t>
      </w:r>
      <w:r>
        <w:t xml:space="preserve"> intended and recognized by participants) and latent (unknown and unintended) functions.</w:t>
      </w:r>
      <w:r>
        <w:rPr>
          <w:b/>
          <w:vertAlign w:val="superscript"/>
        </w:rPr>
        <w:footnoteReference w:id="52"/>
      </w:r>
      <w:r>
        <w:t xml:space="preserve"> Separating objective functions from subjective intentions has a pedagogical e</w:t>
      </w:r>
      <w:r>
        <w:rPr>
          <w:rFonts w:ascii="Calibri" w:eastAsia="Calibri" w:hAnsi="Calibri" w:cs="Calibri"/>
        </w:rPr>
        <w:t>ff</w:t>
      </w:r>
      <w:r>
        <w:t>ect: it points researchers to the importance of latent functions, which yield more imp</w:t>
      </w:r>
      <w:r>
        <w:t>ortant insights precisely because they previously went unrecognized.</w:t>
      </w:r>
      <w:r>
        <w:rPr>
          <w:b/>
          <w:vertAlign w:val="superscript"/>
        </w:rPr>
        <w:footnoteReference w:id="53"/>
      </w:r>
      <w:r>
        <w:t xml:space="preserve"> Comparative lawyers are sometimes in accord when they focus on what the courts do in fact, as opposed to what they say they are doing. Yet when lawyers wish to use comparative law for s</w:t>
      </w:r>
      <w:r>
        <w:t>ocial engineering, they forget that legislatures cannot know latent functions precisely because these functions are only latent. Social engineering presumes unrealistically simple relations between society and laws.</w:t>
      </w:r>
    </w:p>
    <w:p w:rsidR="007479CF" w:rsidRDefault="00CD28B5">
      <w:pPr>
        <w:spacing w:after="34"/>
        <w:ind w:left="-15" w:right="-6"/>
      </w:pPr>
      <w:r>
        <w:t>A second contribution is Merton’s challe</w:t>
      </w:r>
      <w:r>
        <w:t>nge to the postulate of functional unity of society—the axiom, shared by Rabel and Zweigert,</w:t>
      </w:r>
      <w:r>
        <w:rPr>
          <w:b/>
          <w:vertAlign w:val="superscript"/>
        </w:rPr>
        <w:footnoteReference w:id="54"/>
      </w:r>
      <w:r>
        <w:t xml:space="preserve"> that societies are so integrated and interdependent that changing one element a</w:t>
      </w:r>
      <w:r>
        <w:rPr>
          <w:rFonts w:ascii="Calibri" w:eastAsia="Calibri" w:hAnsi="Calibri" w:cs="Calibri"/>
        </w:rPr>
        <w:t>ff</w:t>
      </w:r>
      <w:r>
        <w:t>ects all others. In response, Merton suggests that di</w:t>
      </w:r>
      <w:r>
        <w:rPr>
          <w:rFonts w:ascii="Calibri" w:eastAsia="Calibri" w:hAnsi="Calibri" w:cs="Calibri"/>
        </w:rPr>
        <w:t>ff</w:t>
      </w:r>
      <w:r>
        <w:t>erent societies are integrated to di</w:t>
      </w:r>
      <w:r>
        <w:rPr>
          <w:rFonts w:ascii="Calibri" w:eastAsia="Calibri" w:hAnsi="Calibri" w:cs="Calibri"/>
        </w:rPr>
        <w:t>ff</w:t>
      </w:r>
      <w:r>
        <w:t>erent degrees and empirical tests are necessary to determine this degree.</w:t>
      </w:r>
      <w:r>
        <w:rPr>
          <w:b/>
          <w:vertAlign w:val="superscript"/>
        </w:rPr>
        <w:t>59</w:t>
      </w:r>
    </w:p>
    <w:p w:rsidR="007479CF" w:rsidRDefault="00CD28B5">
      <w:pPr>
        <w:spacing w:after="316"/>
        <w:ind w:left="-15" w:right="-6"/>
      </w:pPr>
      <w:r>
        <w:t>Merton’s third challenge attacks the assumption that every element in society ful</w:t>
      </w:r>
      <w:r>
        <w:rPr>
          <w:rFonts w:ascii="Calibri" w:eastAsia="Calibri" w:hAnsi="Calibri" w:cs="Calibri"/>
        </w:rPr>
        <w:t>fi</w:t>
      </w:r>
      <w:r>
        <w:t>ls s</w:t>
      </w:r>
      <w:r>
        <w:t xml:space="preserve">ome vital function, ignoring non-functional or even dysfunctional institutions. Such institutions, so-called survivals, were known in both sociology and </w:t>
      </w:r>
      <w:r>
        <w:rPr>
          <w:rFonts w:ascii="Calibri" w:eastAsia="Calibri" w:hAnsi="Calibri" w:cs="Calibri"/>
        </w:rPr>
        <w:t></w:t>
      </w:r>
    </w:p>
    <w:p w:rsidR="007479CF" w:rsidRDefault="00CD28B5">
      <w:pPr>
        <w:spacing w:after="32"/>
        <w:ind w:left="-15" w:right="-6" w:firstLine="0"/>
      </w:pPr>
      <w:r>
        <w:t>functionalist comparative law.</w:t>
      </w:r>
      <w:r>
        <w:rPr>
          <w:b/>
          <w:vertAlign w:val="superscript"/>
        </w:rPr>
        <w:t>60</w:t>
      </w:r>
      <w:r>
        <w:t xml:space="preserve"> But traditional sociologists and anthropologists, and likewise com</w:t>
      </w:r>
      <w:r>
        <w:t>parative lawyers, consider survivals to be unstable and only temporary. Merton in turn emphasizes that whether institutions are functional or not is a matter of empirical research,</w:t>
      </w:r>
      <w:r>
        <w:rPr>
          <w:b/>
          <w:vertAlign w:val="superscript"/>
        </w:rPr>
        <w:t>61</w:t>
      </w:r>
      <w:r>
        <w:t xml:space="preserve"> a point made forcefully in comparative law from an anti-functionalist per</w:t>
      </w:r>
      <w:r>
        <w:t>spective by Alan Watson.</w:t>
      </w:r>
      <w:r>
        <w:rPr>
          <w:b/>
          <w:vertAlign w:val="superscript"/>
        </w:rPr>
        <w:t>62</w:t>
      </w:r>
    </w:p>
    <w:p w:rsidR="007479CF" w:rsidRDefault="00CD28B5">
      <w:pPr>
        <w:spacing w:after="265"/>
        <w:ind w:left="-15" w:right="-6"/>
      </w:pPr>
      <w:r>
        <w:t>Merton’s critique was powerful, while his constructive ‘paradigm for functional analysis in sociology’,</w:t>
      </w:r>
      <w:r>
        <w:rPr>
          <w:b/>
          <w:vertAlign w:val="superscript"/>
        </w:rPr>
        <w:t>63</w:t>
      </w:r>
      <w:r>
        <w:t xml:space="preserve"> was less successful. (This is similar to Felix Cohen’s article on legal functionalism,</w:t>
      </w:r>
      <w:r>
        <w:rPr>
          <w:b/>
          <w:vertAlign w:val="superscript"/>
        </w:rPr>
        <w:t>64</w:t>
      </w:r>
      <w:r>
        <w:t xml:space="preserve"> which contains, in its </w:t>
      </w:r>
      <w:r>
        <w:rPr>
          <w:rFonts w:ascii="Calibri" w:eastAsia="Calibri" w:hAnsi="Calibri" w:cs="Calibri"/>
        </w:rPr>
        <w:t>fi</w:t>
      </w:r>
      <w:r>
        <w:t>rst part,</w:t>
      </w:r>
      <w:r>
        <w:t xml:space="preserve"> a brilliant </w:t>
      </w:r>
      <w:r>
        <w:lastRenderedPageBreak/>
        <w:t>critique of conceptualism, while its second part, developing a constructive theory of values, is much weaker.) Criticism of sociological functionalism grew.</w:t>
      </w:r>
      <w:r>
        <w:rPr>
          <w:b/>
          <w:vertAlign w:val="superscript"/>
        </w:rPr>
        <w:footnoteReference w:id="55"/>
      </w:r>
      <w:r>
        <w:t xml:space="preserve"> Functionalism is criticized as intrinsically teleological and therefore unable to fu</w:t>
      </w:r>
      <w:r>
        <w:t>l</w:t>
      </w:r>
      <w:r>
        <w:rPr>
          <w:rFonts w:ascii="Calibri" w:eastAsia="Calibri" w:hAnsi="Calibri" w:cs="Calibri"/>
        </w:rPr>
        <w:t>fi</w:t>
      </w:r>
      <w:r>
        <w:t>l Durkheim’s own postulate of a value-free social science.</w:t>
      </w:r>
      <w:r>
        <w:rPr>
          <w:b/>
          <w:vertAlign w:val="superscript"/>
        </w:rPr>
        <w:footnoteReference w:id="56"/>
      </w:r>
      <w:r>
        <w:t xml:space="preserve"> Related to this is a criticism of implicit tautology and circularity,</w:t>
      </w:r>
      <w:r>
        <w:rPr>
          <w:b/>
          <w:vertAlign w:val="superscript"/>
        </w:rPr>
        <w:footnoteReference w:id="57"/>
      </w:r>
      <w:r>
        <w:t xml:space="preserve"> mirrored in comparative law:</w:t>
      </w:r>
      <w:r>
        <w:rPr>
          <w:b/>
          <w:vertAlign w:val="superscript"/>
        </w:rPr>
        <w:footnoteReference w:id="58"/>
      </w:r>
      <w:r>
        <w:t xml:space="preserve"> The survival of societies is explained by the existence of institutions, while the existe</w:t>
      </w:r>
      <w:r>
        <w:t>nce of these institutions is explained in turn by the needs of society. For critics this means either that functional relations are no di</w:t>
      </w:r>
      <w:r>
        <w:rPr>
          <w:rFonts w:ascii="Calibri" w:eastAsia="Calibri" w:hAnsi="Calibri" w:cs="Calibri"/>
        </w:rPr>
        <w:t>ff</w:t>
      </w:r>
      <w:r>
        <w:t>erent from causal relations (and therefore dispensable as a separate category) or that teleology is reintroduced into</w:t>
      </w:r>
      <w:r>
        <w:t xml:space="preserve"> sociology.</w:t>
      </w:r>
      <w:r>
        <w:rPr>
          <w:b/>
          <w:vertAlign w:val="superscript"/>
        </w:rPr>
        <w:footnoteReference w:id="59"/>
      </w:r>
      <w:r>
        <w:t xml:space="preserve"> Other critics go against the programme of functionalism. For them, emphasis on the stability of systems makes its proponents both politically conservative and methodologically incapable of explaining social change</w:t>
      </w:r>
      <w:r>
        <w:rPr>
          <w:b/>
          <w:vertAlign w:val="superscript"/>
        </w:rPr>
        <w:footnoteReference w:id="60"/>
      </w:r>
      <w:r>
        <w:t xml:space="preserve">—again, a criticism raised </w:t>
      </w:r>
      <w:r>
        <w:t>also</w:t>
      </w:r>
    </w:p>
    <w:p w:rsidR="007479CF" w:rsidRDefault="00CD28B5">
      <w:pPr>
        <w:numPr>
          <w:ilvl w:val="0"/>
          <w:numId w:val="2"/>
        </w:numPr>
        <w:spacing w:after="4" w:line="248" w:lineRule="auto"/>
        <w:ind w:firstLine="165"/>
      </w:pPr>
      <w:r>
        <w:rPr>
          <w:sz w:val="18"/>
        </w:rPr>
        <w:t xml:space="preserve">See eg Durkheim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also Zweigert and Kötz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on the non-functional German provision on ‘joke transactions’, § </w:t>
      </w:r>
      <w:r>
        <w:rPr>
          <w:rFonts w:ascii="Calibri" w:eastAsia="Calibri" w:hAnsi="Calibri" w:cs="Calibri"/>
          <w:sz w:val="18"/>
        </w:rPr>
        <w:t></w:t>
      </w:r>
      <w:r>
        <w:rPr>
          <w:sz w:val="18"/>
        </w:rPr>
        <w:t xml:space="preserve"> BGB; ibid </w:t>
      </w:r>
      <w:r>
        <w:rPr>
          <w:rFonts w:ascii="Calibri" w:eastAsia="Calibri" w:hAnsi="Calibri" w:cs="Calibri"/>
          <w:sz w:val="18"/>
        </w:rPr>
        <w:t></w:t>
      </w:r>
      <w:r>
        <w:rPr>
          <w:sz w:val="18"/>
        </w:rPr>
        <w:t xml:space="preserve"> on the dysfunctional role of § </w:t>
      </w:r>
      <w:r>
        <w:rPr>
          <w:rFonts w:ascii="Calibri" w:eastAsia="Calibri" w:hAnsi="Calibri" w:cs="Calibri"/>
          <w:sz w:val="18"/>
        </w:rPr>
        <w:t></w:t>
      </w:r>
      <w:r>
        <w:rPr>
          <w:sz w:val="18"/>
        </w:rPr>
        <w:t xml:space="preserve"> BGB (delictual liability for others) and functional equivalents in Germ</w:t>
      </w:r>
      <w:r>
        <w:rPr>
          <w:sz w:val="18"/>
        </w:rPr>
        <w:t>an law.</w:t>
      </w:r>
    </w:p>
    <w:p w:rsidR="007479CF" w:rsidRDefault="00CD28B5">
      <w:pPr>
        <w:numPr>
          <w:ilvl w:val="0"/>
          <w:numId w:val="2"/>
        </w:numPr>
        <w:spacing w:after="4" w:line="248" w:lineRule="auto"/>
        <w:ind w:firstLine="165"/>
      </w:pPr>
      <w:r>
        <w:rPr>
          <w:sz w:val="18"/>
        </w:rPr>
        <w:t xml:space="preserve">Merton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w:t>
      </w:r>
    </w:p>
    <w:p w:rsidR="007479CF" w:rsidRDefault="00CD28B5">
      <w:pPr>
        <w:numPr>
          <w:ilvl w:val="0"/>
          <w:numId w:val="2"/>
        </w:numPr>
        <w:spacing w:after="4" w:line="248" w:lineRule="auto"/>
        <w:ind w:firstLine="165"/>
      </w:pPr>
      <w:r>
        <w:rPr>
          <w:sz w:val="18"/>
        </w:rPr>
        <w:t xml:space="preserve">See eg Alan Watson, </w:t>
      </w:r>
      <w:r>
        <w:rPr>
          <w:i/>
          <w:sz w:val="18"/>
        </w:rPr>
        <w:t>Legal Transplants</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xml:space="preserve">; cf Folke Schmidt, ‘The Need for a Multi-axial Method in Comparative Law’, in </w:t>
      </w:r>
      <w:r>
        <w:rPr>
          <w:i/>
          <w:sz w:val="18"/>
        </w:rPr>
        <w:t>Festschrift für Konrad Zweigert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Frankenberg, </w:t>
      </w:r>
      <w:r>
        <w:rPr>
          <w:rFonts w:ascii="Calibri" w:eastAsia="Calibri" w:hAnsi="Calibri" w:cs="Calibri"/>
          <w:sz w:val="18"/>
        </w:rPr>
        <w:t xml:space="preserve"> </w:t>
      </w:r>
      <w:r>
        <w:rPr>
          <w:i/>
          <w:sz w:val="18"/>
        </w:rPr>
        <w:t>Harvard International LJ</w:t>
      </w:r>
      <w:r>
        <w:rPr>
          <w:sz w:val="18"/>
        </w:rPr>
        <w:t xml:space="preserve"> </w:t>
      </w:r>
      <w:r>
        <w:rPr>
          <w:rFonts w:ascii="Calibri" w:eastAsia="Calibri" w:hAnsi="Calibri" w:cs="Calibri"/>
          <w:sz w:val="18"/>
        </w:rPr>
        <w:t xml:space="preserve"> </w:t>
      </w:r>
      <w:r>
        <w:rPr>
          <w:sz w:val="18"/>
        </w:rPr>
        <w:t xml:space="preserve">f; Graziadei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p>
    <w:p w:rsidR="007479CF" w:rsidRDefault="00CD28B5">
      <w:pPr>
        <w:numPr>
          <w:ilvl w:val="0"/>
          <w:numId w:val="2"/>
        </w:numPr>
        <w:spacing w:after="4" w:line="248" w:lineRule="auto"/>
        <w:ind w:firstLine="165"/>
      </w:pPr>
      <w:r>
        <w:rPr>
          <w:sz w:val="18"/>
        </w:rPr>
        <w:t xml:space="preserve">Merton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w:t>
      </w:r>
    </w:p>
    <w:p w:rsidR="007479CF" w:rsidRDefault="00CD28B5">
      <w:pPr>
        <w:numPr>
          <w:ilvl w:val="0"/>
          <w:numId w:val="2"/>
        </w:numPr>
        <w:spacing w:after="4" w:line="248" w:lineRule="auto"/>
        <w:ind w:firstLine="165"/>
      </w:pPr>
      <w:r>
        <w:rPr>
          <w:sz w:val="18"/>
        </w:rPr>
        <w:t xml:space="preserve">Cohen, </w:t>
      </w:r>
      <w:r>
        <w:rPr>
          <w:rFonts w:ascii="Calibri" w:eastAsia="Calibri" w:hAnsi="Calibri" w:cs="Calibri"/>
          <w:sz w:val="18"/>
        </w:rPr>
        <w:t></w:t>
      </w:r>
      <w:r>
        <w:rPr>
          <w:sz w:val="18"/>
        </w:rPr>
        <w:t xml:space="preserve"> </w:t>
      </w:r>
      <w:r>
        <w:rPr>
          <w:i/>
          <w:sz w:val="18"/>
        </w:rPr>
        <w:t>Columbia LR</w:t>
      </w:r>
      <w:r>
        <w:rPr>
          <w:sz w:val="18"/>
        </w:rPr>
        <w:t xml:space="preserve"> </w:t>
      </w:r>
      <w:r>
        <w:rPr>
          <w:rFonts w:ascii="Calibri" w:eastAsia="Calibri" w:hAnsi="Calibri" w:cs="Calibri"/>
          <w:sz w:val="18"/>
        </w:rPr>
        <w:t> ff</w:t>
      </w:r>
      <w:r>
        <w:rPr>
          <w:sz w:val="18"/>
        </w:rPr>
        <w:t>. On Cohen’s own concept of functionalism, akin to sociological positivism rather than to sociological functionalism, see Martin Golding, ‘Realism and F</w:t>
      </w:r>
      <w:r>
        <w:rPr>
          <w:sz w:val="18"/>
        </w:rPr>
        <w:t>unctionalism in the Legal Thought of Felix S. Cohen’,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Cornell LR</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 ff</w:t>
      </w:r>
      <w:r>
        <w:rPr>
          <w:sz w:val="18"/>
        </w:rPr>
        <w:t>.</w:t>
      </w:r>
    </w:p>
    <w:p w:rsidR="007479CF" w:rsidRDefault="00CD28B5">
      <w:pPr>
        <w:pStyle w:val="Heading3"/>
        <w:ind w:left="-5"/>
      </w:pPr>
      <w:r>
        <w:t></w:t>
      </w:r>
    </w:p>
    <w:p w:rsidR="007479CF" w:rsidRDefault="00CD28B5">
      <w:pPr>
        <w:spacing w:after="37"/>
        <w:ind w:left="-15" w:right="-6" w:firstLine="0"/>
      </w:pPr>
      <w:r>
        <w:t>against functionalist comparative law.</w:t>
      </w:r>
      <w:r>
        <w:rPr>
          <w:b/>
          <w:vertAlign w:val="superscript"/>
        </w:rPr>
        <w:t>71</w:t>
      </w:r>
      <w:r>
        <w:t xml:space="preserve"> And </w:t>
      </w:r>
      <w:r>
        <w:rPr>
          <w:rFonts w:ascii="Calibri" w:eastAsia="Calibri" w:hAnsi="Calibri" w:cs="Calibri"/>
        </w:rPr>
        <w:t>fi</w:t>
      </w:r>
      <w:r>
        <w:t>nally, and perhaps most importantly, sociological functionalism is considered unable to account for culture, in par</w:t>
      </w:r>
      <w:r>
        <w:t xml:space="preserve">ticular to explain practices that serve no function—another critique </w:t>
      </w:r>
      <w:r>
        <w:lastRenderedPageBreak/>
        <w:t>also of comparative law.</w:t>
      </w:r>
      <w:r>
        <w:rPr>
          <w:b/>
          <w:vertAlign w:val="superscript"/>
        </w:rPr>
        <w:t>72</w:t>
      </w:r>
      <w:r>
        <w:t xml:space="preserve"> In general, Parsons’s ‘grand theory’ was considered too abstract and therefore often unable to predict all empirical </w:t>
      </w:r>
      <w:r>
        <w:rPr>
          <w:rFonts w:ascii="Calibri" w:eastAsia="Calibri" w:hAnsi="Calibri" w:cs="Calibri"/>
        </w:rPr>
        <w:t>fi</w:t>
      </w:r>
      <w:r>
        <w:t>ndings,</w:t>
      </w:r>
      <w:r>
        <w:rPr>
          <w:b/>
          <w:vertAlign w:val="superscript"/>
        </w:rPr>
        <w:t>73</w:t>
      </w:r>
      <w:r>
        <w:t xml:space="preserve"> again a concern shared in compa</w:t>
      </w:r>
      <w:r>
        <w:t>rative law.</w:t>
      </w:r>
      <w:r>
        <w:rPr>
          <w:b/>
          <w:vertAlign w:val="superscript"/>
        </w:rPr>
        <w:t>74</w:t>
      </w:r>
    </w:p>
    <w:p w:rsidR="007479CF" w:rsidRDefault="00CD28B5">
      <w:pPr>
        <w:spacing w:after="32"/>
        <w:ind w:left="-15" w:right="-6"/>
      </w:pPr>
      <w:r>
        <w:t>After these critiques, functionalism lost ground; a proclaimed ‘neofunctionalism’ has not been successful.</w:t>
      </w:r>
      <w:r>
        <w:rPr>
          <w:b/>
          <w:vertAlign w:val="superscript"/>
        </w:rPr>
        <w:t>75</w:t>
      </w:r>
      <w:r>
        <w:t xml:space="preserve"> Within sociology and especially social anthropology, functionalism made way for cultural and hermeneutic methods</w:t>
      </w:r>
      <w:r>
        <w:rPr>
          <w:b/>
          <w:vertAlign w:val="superscript"/>
        </w:rPr>
        <w:footnoteReference w:id="61"/>
      </w:r>
      <w:r>
        <w:t xml:space="preserve">—a ‘cultural turn’ </w:t>
      </w:r>
      <w:r>
        <w:t>re</w:t>
      </w:r>
      <w:r>
        <w:rPr>
          <w:rFonts w:ascii="Calibri" w:eastAsia="Calibri" w:hAnsi="Calibri" w:cs="Calibri"/>
        </w:rPr>
        <w:t>fl</w:t>
      </w:r>
      <w:r>
        <w:t>ected in legal studies generally</w:t>
      </w:r>
      <w:r>
        <w:rPr>
          <w:b/>
          <w:vertAlign w:val="superscript"/>
        </w:rPr>
        <w:footnoteReference w:id="62"/>
      </w:r>
      <w:r>
        <w:t xml:space="preserve"> and comparative law speci</w:t>
      </w:r>
      <w:r>
        <w:rPr>
          <w:rFonts w:ascii="Calibri" w:eastAsia="Calibri" w:hAnsi="Calibri" w:cs="Calibri"/>
        </w:rPr>
        <w:t>fi</w:t>
      </w:r>
      <w:r>
        <w:t>cally.</w:t>
      </w:r>
      <w:r>
        <w:rPr>
          <w:b/>
          <w:vertAlign w:val="superscript"/>
        </w:rPr>
        <w:footnoteReference w:id="63"/>
      </w:r>
      <w:r>
        <w:t xml:space="preserve"> At the same time, sociology as a discipline, not least due to the perceived lack of methodological sophistication, had to yield its once leading position within the social sciences </w:t>
      </w:r>
      <w:r>
        <w:t>to economics, again, a development replicated in comparative law.</w:t>
      </w:r>
      <w:r>
        <w:rPr>
          <w:b/>
          <w:vertAlign w:val="superscript"/>
        </w:rPr>
        <w:footnoteReference w:id="64"/>
      </w:r>
    </w:p>
    <w:p w:rsidR="007479CF" w:rsidRDefault="00CD28B5">
      <w:pPr>
        <w:spacing w:after="352"/>
        <w:ind w:left="-15" w:right="-6"/>
      </w:pPr>
      <w:r>
        <w:t xml:space="preserve">Legal functionalism has faced similar challenges. Already before </w:t>
      </w:r>
      <w:r>
        <w:rPr>
          <w:rFonts w:ascii="Calibri" w:eastAsia="Calibri" w:hAnsi="Calibri" w:cs="Calibri"/>
        </w:rPr>
        <w:t></w:t>
      </w:r>
      <w:r>
        <w:t>, criticism of the German Civil Code’</w:t>
      </w:r>
      <w:r>
        <w:t>s structure as non-functional remained unheard;</w:t>
      </w:r>
      <w:r>
        <w:rPr>
          <w:b/>
          <w:vertAlign w:val="superscript"/>
        </w:rPr>
        <w:footnoteReference w:id="65"/>
      </w:r>
      <w:r>
        <w:t xml:space="preserve"> later</w:t>
      </w:r>
    </w:p>
    <w:p w:rsidR="007479CF" w:rsidRDefault="00CD28B5">
      <w:pPr>
        <w:numPr>
          <w:ilvl w:val="0"/>
          <w:numId w:val="3"/>
        </w:numPr>
        <w:spacing w:after="4" w:line="248" w:lineRule="auto"/>
        <w:ind w:firstLine="165"/>
      </w:pPr>
      <w:r>
        <w:rPr>
          <w:sz w:val="18"/>
        </w:rPr>
        <w:t>Jonathan Hill, ‘Comparative Law, Law Reform and Legal Theory’,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Oxford Journal of Legal Studies</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 xml:space="preserve"> </w:t>
      </w:r>
      <w:r>
        <w:rPr>
          <w:sz w:val="18"/>
        </w:rPr>
        <w:t xml:space="preserve">f; David Kennedy, ‘The Methods and the Politics’, in Legrand and Munday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p>
    <w:p w:rsidR="007479CF" w:rsidRDefault="00CD28B5">
      <w:pPr>
        <w:numPr>
          <w:ilvl w:val="0"/>
          <w:numId w:val="3"/>
        </w:numPr>
        <w:spacing w:after="4" w:line="248" w:lineRule="auto"/>
        <w:ind w:firstLine="165"/>
      </w:pPr>
      <w:r>
        <w:rPr>
          <w:sz w:val="18"/>
        </w:rPr>
        <w:t>One author representing the trend in both anthropology and comparative law is Cli</w:t>
      </w:r>
      <w:r>
        <w:rPr>
          <w:rFonts w:ascii="Calibri" w:eastAsia="Calibri" w:hAnsi="Calibri" w:cs="Calibri"/>
          <w:sz w:val="18"/>
        </w:rPr>
        <w:t>ff</w:t>
      </w:r>
      <w:r>
        <w:rPr>
          <w:sz w:val="18"/>
        </w:rPr>
        <w:t>ord Geertz; for anthropological anti-functionalism, see his ‘Ritual and Social Change: A Javanese Example’,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American Anthropologist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xml:space="preserve">; reprinted in Demerath </w:t>
      </w:r>
      <w:r>
        <w:rPr>
          <w:sz w:val="18"/>
        </w:rPr>
        <w:t xml:space="preserve">and Peterson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Cli</w:t>
      </w:r>
      <w:r>
        <w:rPr>
          <w:rFonts w:ascii="Calibri" w:eastAsia="Calibri" w:hAnsi="Calibri" w:cs="Calibri"/>
          <w:sz w:val="18"/>
        </w:rPr>
        <w:t>ff</w:t>
      </w:r>
      <w:r>
        <w:rPr>
          <w:sz w:val="18"/>
        </w:rPr>
        <w:t xml:space="preserve">ord Geertz, </w:t>
      </w:r>
      <w:r>
        <w:rPr>
          <w:i/>
          <w:sz w:val="18"/>
        </w:rPr>
        <w:t>Interpreting Cultures</w:t>
      </w:r>
      <w:r>
        <w:rPr>
          <w:sz w:val="18"/>
        </w:rPr>
        <w:t xml:space="preserve"> (</w:t>
      </w:r>
      <w:r>
        <w:rPr>
          <w:rFonts w:ascii="Calibri" w:eastAsia="Calibri" w:hAnsi="Calibri" w:cs="Calibri"/>
          <w:sz w:val="18"/>
        </w:rPr>
        <w:t></w:t>
      </w:r>
      <w:r>
        <w:rPr>
          <w:sz w:val="18"/>
        </w:rPr>
        <w:t xml:space="preserve">); for anti-functionalist comparative law, see </w:t>
      </w:r>
      <w:r>
        <w:rPr>
          <w:i/>
          <w:sz w:val="18"/>
        </w:rPr>
        <w:t>idem</w:t>
      </w:r>
      <w:r>
        <w:rPr>
          <w:sz w:val="18"/>
        </w:rPr>
        <w:t xml:space="preserve">, ‘Local Knowledge: Fact and Law in Comparative Perspective’ in </w:t>
      </w:r>
      <w:r>
        <w:rPr>
          <w:i/>
          <w:sz w:val="18"/>
        </w:rPr>
        <w:t>idem, Local Knowledge—Further Essays in Interpretive Anthropology</w:t>
      </w:r>
      <w:r>
        <w:rPr>
          <w:sz w:val="18"/>
        </w:rPr>
        <w:t xml:space="preserve"> (</w:t>
      </w:r>
      <w:r>
        <w:rPr>
          <w:rFonts w:ascii="Calibri" w:eastAsia="Calibri" w:hAnsi="Calibri" w:cs="Calibri"/>
          <w:sz w:val="18"/>
        </w:rPr>
        <w:t></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xml:space="preserve">, especially at </w:t>
      </w:r>
      <w:r>
        <w:rPr>
          <w:rFonts w:ascii="Calibri" w:eastAsia="Calibri" w:hAnsi="Calibri" w:cs="Calibri"/>
          <w:sz w:val="18"/>
        </w:rPr>
        <w:t></w:t>
      </w:r>
      <w:r>
        <w:rPr>
          <w:sz w:val="18"/>
        </w:rPr>
        <w:t>. See also Pierre Legrand, ‘The Same and the Di</w:t>
      </w:r>
      <w:r>
        <w:rPr>
          <w:rFonts w:ascii="Calibri" w:eastAsia="Calibri" w:hAnsi="Calibri" w:cs="Calibri"/>
          <w:sz w:val="18"/>
        </w:rPr>
        <w:t>ff</w:t>
      </w:r>
      <w:r>
        <w:rPr>
          <w:sz w:val="18"/>
        </w:rPr>
        <w:t xml:space="preserve">erent’, in Legrand and Munday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 xml:space="preserve"> </w:t>
      </w:r>
      <w:r>
        <w:rPr>
          <w:sz w:val="18"/>
        </w:rPr>
        <w:t>f.</w:t>
      </w:r>
    </w:p>
    <w:p w:rsidR="007479CF" w:rsidRDefault="00CD28B5">
      <w:pPr>
        <w:numPr>
          <w:ilvl w:val="0"/>
          <w:numId w:val="3"/>
        </w:numPr>
        <w:spacing w:after="4" w:line="248" w:lineRule="auto"/>
        <w:ind w:firstLine="165"/>
      </w:pPr>
      <w:r>
        <w:rPr>
          <w:sz w:val="18"/>
        </w:rPr>
        <w:t xml:space="preserve">Wright Mills, ‘Grand Theory’, in </w:t>
      </w:r>
      <w:r>
        <w:rPr>
          <w:i/>
          <w:sz w:val="18"/>
        </w:rPr>
        <w:t>idem, The Sociological Imagination</w:t>
      </w:r>
      <w:r>
        <w:rPr>
          <w:sz w:val="18"/>
        </w:rPr>
        <w:t xml:space="preserve"> (</w:t>
      </w:r>
      <w:r>
        <w:rPr>
          <w:rFonts w:ascii="Calibri" w:eastAsia="Calibri" w:hAnsi="Calibri" w:cs="Calibri"/>
          <w:sz w:val="18"/>
        </w:rPr>
        <w:t></w:t>
      </w:r>
      <w:r>
        <w:rPr>
          <w:sz w:val="18"/>
        </w:rPr>
        <w:t xml:space="preserve">); reprinted in Demerath and Peterson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w:t>
      </w:r>
    </w:p>
    <w:p w:rsidR="007479CF" w:rsidRDefault="00CD28B5">
      <w:pPr>
        <w:numPr>
          <w:ilvl w:val="0"/>
          <w:numId w:val="3"/>
        </w:numPr>
        <w:spacing w:after="4" w:line="248" w:lineRule="auto"/>
        <w:ind w:firstLine="165"/>
      </w:pPr>
      <w:r>
        <w:rPr>
          <w:sz w:val="18"/>
        </w:rPr>
        <w:t xml:space="preserve">See the references in n </w:t>
      </w:r>
      <w:r>
        <w:rPr>
          <w:rFonts w:ascii="Calibri" w:eastAsia="Calibri" w:hAnsi="Calibri" w:cs="Calibri"/>
          <w:sz w:val="18"/>
        </w:rPr>
        <w:t></w:t>
      </w:r>
      <w:r>
        <w:rPr>
          <w:sz w:val="18"/>
        </w:rPr>
        <w:t>; William Alford, ‘On the Limits of “Grand Theory” in Comparative Law’,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Washington LR</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w:t>
      </w:r>
    </w:p>
    <w:p w:rsidR="007479CF" w:rsidRDefault="00CD28B5">
      <w:pPr>
        <w:numPr>
          <w:ilvl w:val="0"/>
          <w:numId w:val="3"/>
        </w:numPr>
        <w:spacing w:after="4" w:line="248" w:lineRule="auto"/>
        <w:ind w:firstLine="165"/>
      </w:pPr>
      <w:r>
        <w:rPr>
          <w:sz w:val="18"/>
        </w:rPr>
        <w:lastRenderedPageBreak/>
        <w:t>Je</w:t>
      </w:r>
      <w:r>
        <w:rPr>
          <w:rFonts w:ascii="Calibri" w:eastAsia="Calibri" w:hAnsi="Calibri" w:cs="Calibri"/>
          <w:sz w:val="18"/>
        </w:rPr>
        <w:t>ff</w:t>
      </w:r>
      <w:r>
        <w:rPr>
          <w:sz w:val="18"/>
        </w:rPr>
        <w:t xml:space="preserve">rey C. Alexander, </w:t>
      </w:r>
      <w:r>
        <w:rPr>
          <w:i/>
          <w:sz w:val="18"/>
        </w:rPr>
        <w:t>Neofunctionalism and After</w:t>
      </w:r>
      <w:r>
        <w:rPr>
          <w:sz w:val="18"/>
        </w:rPr>
        <w:t xml:space="preserve"> (</w:t>
      </w:r>
      <w:r>
        <w:rPr>
          <w:rFonts w:ascii="Calibri" w:eastAsia="Calibri" w:hAnsi="Calibri" w:cs="Calibri"/>
          <w:sz w:val="18"/>
        </w:rPr>
        <w:t></w:t>
      </w:r>
      <w:r>
        <w:rPr>
          <w:sz w:val="18"/>
        </w:rPr>
        <w:t>); cf Michael Schmid, ‘Der Neofunktionalismus: Nachruf auf ein Forschung</w:t>
      </w:r>
      <w:r>
        <w:rPr>
          <w:sz w:val="18"/>
        </w:rPr>
        <w:t xml:space="preserve">sprogramm’, in Jetzkowitz and Stark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w:t>
      </w:r>
    </w:p>
    <w:p w:rsidR="007479CF" w:rsidRDefault="00CD28B5">
      <w:pPr>
        <w:spacing w:after="323" w:line="274" w:lineRule="auto"/>
        <w:ind w:left="10" w:right="-5" w:hanging="10"/>
        <w:jc w:val="right"/>
      </w:pPr>
      <w:r>
        <w:rPr>
          <w:rFonts w:ascii="Calibri" w:eastAsia="Calibri" w:hAnsi="Calibri" w:cs="Calibri"/>
        </w:rPr>
        <w:t></w:t>
      </w:r>
    </w:p>
    <w:p w:rsidR="007479CF" w:rsidRDefault="00CD28B5">
      <w:pPr>
        <w:spacing w:after="733"/>
        <w:ind w:left="-15" w:right="-6" w:firstLine="0"/>
      </w:pPr>
      <w:r>
        <w:t>abuses of functionalism by the Nazis</w:t>
      </w:r>
      <w:r>
        <w:rPr>
          <w:b/>
          <w:vertAlign w:val="superscript"/>
        </w:rPr>
        <w:footnoteReference w:id="66"/>
      </w:r>
      <w:r>
        <w:t xml:space="preserve"> made the concept unattractive in the postwar period. Instead, the paradigm for statutory interpretation and legal argumentation moved from a functionalist jurisprudence of interests to a jurisprudence of values, thereby substituting the legislator’s indiv</w:t>
      </w:r>
      <w:r>
        <w:t>idual goals or a speci</w:t>
      </w:r>
      <w:r>
        <w:rPr>
          <w:rFonts w:ascii="Calibri" w:eastAsia="Calibri" w:hAnsi="Calibri" w:cs="Calibri"/>
        </w:rPr>
        <w:t>fi</w:t>
      </w:r>
      <w:r>
        <w:t>c society’s values for objective functions and abolishing the universalist aims of functionalism which had made it attractive for comparative law.</w:t>
      </w:r>
    </w:p>
    <w:p w:rsidR="007479CF" w:rsidRDefault="00CD28B5">
      <w:pPr>
        <w:pStyle w:val="Heading2"/>
        <w:ind w:left="-5"/>
      </w:pPr>
      <w:r>
        <w:rPr>
          <w:rFonts w:ascii="Calibri" w:eastAsia="Calibri" w:hAnsi="Calibri" w:cs="Calibri"/>
        </w:rPr>
        <w:t></w:t>
      </w:r>
      <w:r>
        <w:t>. Epistemological Functionalism</w:t>
      </w:r>
    </w:p>
    <w:p w:rsidR="007479CF" w:rsidRDefault="00CD28B5">
      <w:pPr>
        <w:ind w:left="-15" w:right="-6" w:firstLine="0"/>
      </w:pPr>
      <w:r>
        <w:t>All proponents of functionalism discussed so far sta</w:t>
      </w:r>
      <w:r>
        <w:t>nd before a dilemma. Either they must explain function as mere causality, or they have to insert some kind of teleology into their worldview, some ‘</w:t>
      </w:r>
      <w:r>
        <w:rPr>
          <w:i/>
        </w:rPr>
        <w:t>Natur der Sache</w:t>
      </w:r>
      <w:r>
        <w:t>’. A way out can be found in Ernst Cassirer’s functionalist epistemology. Cassirer posits tha</w:t>
      </w:r>
      <w:r>
        <w:t>t, since Kant suggested laws of nature as human constructs, there has been a seismic shift from a focus on substance to a focus on function, from attempts to understand how things ‘really’ are (their substance, ontology) to understanding them only in their</w:t>
      </w:r>
      <w:r>
        <w:t xml:space="preserve"> (functional) relation to particular viewpoints (their function, epistemology).</w:t>
      </w:r>
      <w:r>
        <w:rPr>
          <w:b/>
          <w:vertAlign w:val="superscript"/>
        </w:rPr>
        <w:footnoteReference w:id="67"/>
      </w:r>
      <w:r>
        <w:t xml:space="preserve"> No longer could classes of elements be de</w:t>
      </w:r>
      <w:r>
        <w:rPr>
          <w:rFonts w:ascii="Calibri" w:eastAsia="Calibri" w:hAnsi="Calibri" w:cs="Calibri"/>
        </w:rPr>
        <w:t>fi</w:t>
      </w:r>
      <w:r>
        <w:t>ned simply by common traits, because such an abstraction would ignore the necessary relation between the element and the whole. Rat</w:t>
      </w:r>
      <w:r>
        <w:t>her, individual elements had to be understood in relation to particular aspects, as di</w:t>
      </w:r>
      <w:r>
        <w:rPr>
          <w:rFonts w:ascii="Calibri" w:eastAsia="Calibri" w:hAnsi="Calibri" w:cs="Calibri"/>
        </w:rPr>
        <w:t>ff</w:t>
      </w:r>
      <w:r>
        <w:t xml:space="preserve">erent results to the same function. A series of elements </w:t>
      </w:r>
      <w:r>
        <w:rPr>
          <w:i/>
        </w:rPr>
        <w:t>a α</w:t>
      </w:r>
      <w:r>
        <w:rPr>
          <w:sz w:val="20"/>
          <w:vertAlign w:val="subscript"/>
        </w:rPr>
        <w:t>1</w:t>
      </w:r>
      <w:r>
        <w:t xml:space="preserve"> </w:t>
      </w:r>
      <w:r>
        <w:rPr>
          <w:i/>
        </w:rPr>
        <w:t>β</w:t>
      </w:r>
      <w:r>
        <w:rPr>
          <w:sz w:val="20"/>
          <w:vertAlign w:val="subscript"/>
        </w:rPr>
        <w:t>1</w:t>
      </w:r>
      <w:r>
        <w:t xml:space="preserve">, </w:t>
      </w:r>
      <w:r>
        <w:rPr>
          <w:i/>
        </w:rPr>
        <w:t>a</w:t>
      </w:r>
      <w:r>
        <w:t xml:space="preserve"> </w:t>
      </w:r>
      <w:r>
        <w:rPr>
          <w:i/>
        </w:rPr>
        <w:t>α</w:t>
      </w:r>
      <w:r>
        <w:rPr>
          <w:sz w:val="20"/>
          <w:vertAlign w:val="subscript"/>
        </w:rPr>
        <w:t>2</w:t>
      </w:r>
      <w:r>
        <w:t xml:space="preserve"> </w:t>
      </w:r>
      <w:r>
        <w:rPr>
          <w:i/>
        </w:rPr>
        <w:t>β</w:t>
      </w:r>
      <w:r>
        <w:rPr>
          <w:sz w:val="20"/>
          <w:vertAlign w:val="subscript"/>
        </w:rPr>
        <w:t>2</w:t>
      </w:r>
      <w:r>
        <w:t xml:space="preserve">, </w:t>
      </w:r>
      <w:r>
        <w:rPr>
          <w:i/>
        </w:rPr>
        <w:t>a α</w:t>
      </w:r>
      <w:r>
        <w:rPr>
          <w:sz w:val="20"/>
          <w:vertAlign w:val="subscript"/>
        </w:rPr>
        <w:t>3</w:t>
      </w:r>
      <w:r>
        <w:t xml:space="preserve"> </w:t>
      </w:r>
      <w:r>
        <w:rPr>
          <w:i/>
        </w:rPr>
        <w:t>β</w:t>
      </w:r>
      <w:r>
        <w:rPr>
          <w:sz w:val="20"/>
          <w:vertAlign w:val="subscript"/>
        </w:rPr>
        <w:t>3</w:t>
      </w:r>
      <w:r>
        <w:t xml:space="preserve"> . . . cannot be understood merely by the common criterion </w:t>
      </w:r>
      <w:r>
        <w:rPr>
          <w:i/>
        </w:rPr>
        <w:t>a</w:t>
      </w:r>
      <w:r>
        <w:t>, but rather by the regula</w:t>
      </w:r>
      <w:r>
        <w:t xml:space="preserve">rity in which its elements are brought about through the function </w:t>
      </w:r>
      <w:r>
        <w:rPr>
          <w:i/>
        </w:rPr>
        <w:t>a x y</w:t>
      </w:r>
      <w:r>
        <w:t xml:space="preserve">, in which the variable </w:t>
      </w:r>
      <w:r>
        <w:rPr>
          <w:i/>
        </w:rPr>
        <w:t>x</w:t>
      </w:r>
      <w:r>
        <w:t xml:space="preserve"> de</w:t>
      </w:r>
      <w:r>
        <w:rPr>
          <w:rFonts w:ascii="Calibri" w:eastAsia="Calibri" w:hAnsi="Calibri" w:cs="Calibri"/>
        </w:rPr>
        <w:t>fi</w:t>
      </w:r>
      <w:r>
        <w:t xml:space="preserve">nes all </w:t>
      </w:r>
      <w:r>
        <w:rPr>
          <w:i/>
        </w:rPr>
        <w:t>α</w:t>
      </w:r>
      <w:r>
        <w:t xml:space="preserve">, the variable </w:t>
      </w:r>
      <w:r>
        <w:rPr>
          <w:i/>
        </w:rPr>
        <w:t>y</w:t>
      </w:r>
      <w:r>
        <w:t xml:space="preserve"> de</w:t>
      </w:r>
      <w:r>
        <w:rPr>
          <w:rFonts w:ascii="Calibri" w:eastAsia="Calibri" w:hAnsi="Calibri" w:cs="Calibri"/>
        </w:rPr>
        <w:t>fi</w:t>
      </w:r>
      <w:r>
        <w:t xml:space="preserve">nes all </w:t>
      </w:r>
      <w:r>
        <w:rPr>
          <w:i/>
        </w:rPr>
        <w:t>β</w:t>
      </w:r>
      <w:r>
        <w:t>, and all these elements stand in a functional regularity so that it is possible to create new elements in the series.</w:t>
      </w:r>
    </w:p>
    <w:p w:rsidR="007479CF" w:rsidRDefault="00CD28B5">
      <w:pPr>
        <w:spacing w:after="315"/>
        <w:ind w:left="-15" w:right="-6"/>
      </w:pPr>
      <w:r>
        <w:t>This move has two decisive advantages. First, it is not necessary to recognize some essence of a particular element; it is su</w:t>
      </w:r>
      <w:r>
        <w:rPr>
          <w:rFonts w:ascii="Calibri" w:eastAsia="Calibri" w:hAnsi="Calibri" w:cs="Calibri"/>
        </w:rPr>
        <w:t>ffi</w:t>
      </w:r>
      <w:r>
        <w:t xml:space="preserve">cient to </w:t>
      </w:r>
      <w:r>
        <w:t xml:space="preserve">understand the element as variable result of a functional connection with another variable element. </w:t>
      </w:r>
      <w:r>
        <w:lastRenderedPageBreak/>
        <w:t>Individual numbers do not have an essence, but the totality of all numbers does.</w:t>
      </w:r>
      <w:r>
        <w:rPr>
          <w:b/>
          <w:vertAlign w:val="superscript"/>
        </w:rPr>
        <w:t>83</w:t>
      </w:r>
      <w:r>
        <w:t xml:space="preserve"> Functionalism need not declare the existence of any </w:t>
      </w:r>
      <w:r>
        <w:rPr>
          <w:i/>
        </w:rPr>
        <w:t>α</w:t>
      </w:r>
      <w:r>
        <w:t xml:space="preserve"> or any </w:t>
      </w:r>
      <w:r>
        <w:rPr>
          <w:i/>
        </w:rPr>
        <w:t>β</w:t>
      </w:r>
      <w:r>
        <w:t xml:space="preserve"> but only t</w:t>
      </w:r>
      <w:r>
        <w:t xml:space="preserve">hat if there is a certain </w:t>
      </w:r>
      <w:r>
        <w:rPr>
          <w:i/>
        </w:rPr>
        <w:t xml:space="preserve">α </w:t>
      </w:r>
      <w:r>
        <w:t xml:space="preserve">there will be a certain </w:t>
      </w:r>
      <w:r>
        <w:rPr>
          <w:i/>
        </w:rPr>
        <w:t>β</w:t>
      </w:r>
      <w:r>
        <w:t>. Second, it is possible to conceive of groups of elements and to describe them without the loss of speci</w:t>
      </w:r>
      <w:r>
        <w:rPr>
          <w:rFonts w:ascii="Calibri" w:eastAsia="Calibri" w:hAnsi="Calibri" w:cs="Calibri"/>
        </w:rPr>
        <w:t>fi</w:t>
      </w:r>
      <w:r>
        <w:t>city that comes with traditional classi</w:t>
      </w:r>
      <w:r>
        <w:rPr>
          <w:rFonts w:ascii="Calibri" w:eastAsia="Calibri" w:hAnsi="Calibri" w:cs="Calibri"/>
        </w:rPr>
        <w:t>fi</w:t>
      </w:r>
      <w:r>
        <w:t>cations requiring abstraction.</w:t>
      </w:r>
      <w:r>
        <w:rPr>
          <w:b/>
          <w:vertAlign w:val="superscript"/>
        </w:rPr>
        <w:t>84</w:t>
      </w:r>
      <w:r>
        <w:t xml:space="preserve"> The function </w:t>
      </w:r>
      <w:r>
        <w:rPr>
          <w:i/>
        </w:rPr>
        <w:t>a x y</w:t>
      </w:r>
      <w:r>
        <w:t xml:space="preserve"> des</w:t>
      </w:r>
      <w:r>
        <w:t xml:space="preserve">cribes all elements of the </w:t>
      </w:r>
      <w:r>
        <w:rPr>
          <w:rFonts w:ascii="Calibri" w:eastAsia="Calibri" w:hAnsi="Calibri" w:cs="Calibri"/>
        </w:rPr>
        <w:t></w:t>
      </w:r>
    </w:p>
    <w:p w:rsidR="007479CF" w:rsidRDefault="00CD28B5">
      <w:pPr>
        <w:ind w:left="-15" w:right="-6" w:firstLine="0"/>
      </w:pPr>
      <w:r>
        <w:t xml:space="preserve">series completely, whereas a focus on the common element </w:t>
      </w:r>
      <w:r>
        <w:rPr>
          <w:i/>
        </w:rPr>
        <w:t>a</w:t>
      </w:r>
      <w:r>
        <w:t xml:space="preserve"> as classi</w:t>
      </w:r>
      <w:r>
        <w:rPr>
          <w:rFonts w:ascii="Calibri" w:eastAsia="Calibri" w:hAnsi="Calibri" w:cs="Calibri"/>
        </w:rPr>
        <w:t>fi</w:t>
      </w:r>
      <w:r>
        <w:t>catory criterion would ignore both the di</w:t>
      </w:r>
      <w:r>
        <w:rPr>
          <w:rFonts w:ascii="Calibri" w:eastAsia="Calibri" w:hAnsi="Calibri" w:cs="Calibri"/>
        </w:rPr>
        <w:t>ff</w:t>
      </w:r>
      <w:r>
        <w:t xml:space="preserve">erences between two elements </w:t>
      </w:r>
      <w:r>
        <w:rPr>
          <w:i/>
        </w:rPr>
        <w:t>a α</w:t>
      </w:r>
      <w:r>
        <w:rPr>
          <w:sz w:val="20"/>
          <w:vertAlign w:val="subscript"/>
        </w:rPr>
        <w:t>1</w:t>
      </w:r>
      <w:r>
        <w:t xml:space="preserve"> </w:t>
      </w:r>
      <w:r>
        <w:rPr>
          <w:i/>
        </w:rPr>
        <w:t>β</w:t>
      </w:r>
      <w:r>
        <w:rPr>
          <w:sz w:val="20"/>
          <w:vertAlign w:val="subscript"/>
        </w:rPr>
        <w:t>1</w:t>
      </w:r>
      <w:r>
        <w:t xml:space="preserve"> and </w:t>
      </w:r>
      <w:r>
        <w:rPr>
          <w:i/>
        </w:rPr>
        <w:t>a α</w:t>
      </w:r>
      <w:r>
        <w:rPr>
          <w:sz w:val="20"/>
          <w:vertAlign w:val="subscript"/>
        </w:rPr>
        <w:t>2</w:t>
      </w:r>
      <w:r>
        <w:t xml:space="preserve"> </w:t>
      </w:r>
      <w:r>
        <w:rPr>
          <w:i/>
        </w:rPr>
        <w:t>β</w:t>
      </w:r>
      <w:r>
        <w:rPr>
          <w:sz w:val="20"/>
          <w:vertAlign w:val="subscript"/>
        </w:rPr>
        <w:t xml:space="preserve">2 </w:t>
      </w:r>
      <w:r>
        <w:t>as well as the speci</w:t>
      </w:r>
      <w:r>
        <w:rPr>
          <w:rFonts w:ascii="Calibri" w:eastAsia="Calibri" w:hAnsi="Calibri" w:cs="Calibri"/>
        </w:rPr>
        <w:t>fi</w:t>
      </w:r>
      <w:r>
        <w:t xml:space="preserve">c functional relation between </w:t>
      </w:r>
      <w:r>
        <w:rPr>
          <w:i/>
        </w:rPr>
        <w:t>a</w:t>
      </w:r>
      <w:r>
        <w:t xml:space="preserve"> and </w:t>
      </w:r>
      <w:r>
        <w:rPr>
          <w:i/>
        </w:rPr>
        <w:t>y</w:t>
      </w:r>
      <w:r>
        <w:t xml:space="preserve"> tha</w:t>
      </w:r>
      <w:r>
        <w:t>t creates the respective elements.</w:t>
      </w:r>
    </w:p>
    <w:p w:rsidR="007479CF" w:rsidRDefault="00CD28B5">
      <w:pPr>
        <w:spacing w:after="733"/>
        <w:ind w:left="-15" w:right="-6"/>
      </w:pPr>
      <w:r>
        <w:t>Although Cassirer had no direct in</w:t>
      </w:r>
      <w:r>
        <w:rPr>
          <w:rFonts w:ascii="Calibri" w:eastAsia="Calibri" w:hAnsi="Calibri" w:cs="Calibri"/>
        </w:rPr>
        <w:t>fl</w:t>
      </w:r>
      <w:r>
        <w:t>uence on functionalist comparative law,</w:t>
      </w:r>
      <w:r>
        <w:rPr>
          <w:b/>
          <w:vertAlign w:val="superscript"/>
        </w:rPr>
        <w:footnoteReference w:id="68"/>
      </w:r>
      <w:r>
        <w:t xml:space="preserve">several parallels exist. First, functionalist comparative law is also interested not in some essence of legal institutions, but rather in their </w:t>
      </w:r>
      <w:r>
        <w:t>functional relation to particular problems. Second, functionalist comparative law also aims at avoiding the abstraction inherent in both conceptual comparisons and the macro-comparison of legal families, and instead focuses on a legal institution’s relatio</w:t>
      </w:r>
      <w:r>
        <w:t>n to the whole. Third, Cassirer’s emphasis on the totality of elements as opposed to individual elements is akin to Max Salomon’s attempt to de</w:t>
      </w:r>
      <w:r>
        <w:rPr>
          <w:rFonts w:ascii="Calibri" w:eastAsia="Calibri" w:hAnsi="Calibri" w:cs="Calibri"/>
        </w:rPr>
        <w:t>fi</w:t>
      </w:r>
      <w:r>
        <w:t>ne universal jurisprudence beyond individual national institutions. Cassirer’s concept of function, which he bo</w:t>
      </w:r>
      <w:r>
        <w:t>rrowed from mathematics, can work as a formalization of functional equivalents in comparative law: If we de</w:t>
      </w:r>
      <w:r>
        <w:rPr>
          <w:rFonts w:ascii="Calibri" w:eastAsia="Calibri" w:hAnsi="Calibri" w:cs="Calibri"/>
        </w:rPr>
        <w:t>fi</w:t>
      </w:r>
      <w:r>
        <w:t xml:space="preserve">ne </w:t>
      </w:r>
      <w:r>
        <w:rPr>
          <w:i/>
        </w:rPr>
        <w:t>a</w:t>
      </w:r>
      <w:r>
        <w:t xml:space="preserve"> as a particular problem, ‘</w:t>
      </w:r>
      <w:r>
        <w:rPr>
          <w:i/>
        </w:rPr>
        <w:t>x</w:t>
      </w:r>
      <w:r>
        <w:t xml:space="preserve">’ as the variable for legal systems </w:t>
      </w:r>
      <w:r>
        <w:rPr>
          <w:i/>
        </w:rPr>
        <w:t>α</w:t>
      </w:r>
      <w:r>
        <w:rPr>
          <w:sz w:val="20"/>
          <w:vertAlign w:val="subscript"/>
        </w:rPr>
        <w:t>1, 2, 3</w:t>
      </w:r>
      <w:r>
        <w:t xml:space="preserve"> . . ., and ‘</w:t>
      </w:r>
      <w:r>
        <w:rPr>
          <w:i/>
        </w:rPr>
        <w:t>y</w:t>
      </w:r>
      <w:r>
        <w:t>’</w:t>
      </w:r>
      <w:r>
        <w:t xml:space="preserve"> as the variable for legal institutions </w:t>
      </w:r>
      <w:r>
        <w:rPr>
          <w:i/>
        </w:rPr>
        <w:t>β</w:t>
      </w:r>
      <w:r>
        <w:rPr>
          <w:sz w:val="20"/>
          <w:vertAlign w:val="subscript"/>
        </w:rPr>
        <w:t>1, 2, 3</w:t>
      </w:r>
      <w:r>
        <w:t xml:space="preserve"> . . ., we can formalize the functional comparison of di</w:t>
      </w:r>
      <w:r>
        <w:rPr>
          <w:rFonts w:ascii="Calibri" w:eastAsia="Calibri" w:hAnsi="Calibri" w:cs="Calibri"/>
        </w:rPr>
        <w:t>ff</w:t>
      </w:r>
      <w:r>
        <w:t xml:space="preserve">erent legal institutions as a series, where, for example, </w:t>
      </w:r>
      <w:r>
        <w:rPr>
          <w:i/>
        </w:rPr>
        <w:t>a α</w:t>
      </w:r>
      <w:r>
        <w:rPr>
          <w:sz w:val="20"/>
          <w:vertAlign w:val="subscript"/>
        </w:rPr>
        <w:t>1</w:t>
      </w:r>
      <w:r>
        <w:t xml:space="preserve"> </w:t>
      </w:r>
      <w:r>
        <w:rPr>
          <w:i/>
        </w:rPr>
        <w:t>β</w:t>
      </w:r>
      <w:r>
        <w:rPr>
          <w:sz w:val="20"/>
          <w:vertAlign w:val="subscript"/>
        </w:rPr>
        <w:t>1</w:t>
      </w:r>
      <w:r>
        <w:t xml:space="preserve"> is French law’s (</w:t>
      </w:r>
      <w:r>
        <w:rPr>
          <w:i/>
        </w:rPr>
        <w:t>α</w:t>
      </w:r>
      <w:r>
        <w:rPr>
          <w:sz w:val="20"/>
          <w:vertAlign w:val="subscript"/>
        </w:rPr>
        <w:t>1</w:t>
      </w:r>
      <w:r>
        <w:t>) response (</w:t>
      </w:r>
      <w:r>
        <w:rPr>
          <w:i/>
        </w:rPr>
        <w:t>β</w:t>
      </w:r>
      <w:r>
        <w:rPr>
          <w:sz w:val="20"/>
          <w:vertAlign w:val="subscript"/>
        </w:rPr>
        <w:t>1</w:t>
      </w:r>
      <w:r>
        <w:t xml:space="preserve">) to problem </w:t>
      </w:r>
      <w:r>
        <w:rPr>
          <w:i/>
        </w:rPr>
        <w:t>a, a α</w:t>
      </w:r>
      <w:r>
        <w:rPr>
          <w:sz w:val="20"/>
          <w:vertAlign w:val="subscript"/>
        </w:rPr>
        <w:t>2</w:t>
      </w:r>
      <w:r>
        <w:t xml:space="preserve"> </w:t>
      </w:r>
      <w:r>
        <w:rPr>
          <w:i/>
        </w:rPr>
        <w:t>β</w:t>
      </w:r>
      <w:r>
        <w:rPr>
          <w:sz w:val="20"/>
          <w:vertAlign w:val="subscript"/>
        </w:rPr>
        <w:t>2</w:t>
      </w:r>
      <w:r>
        <w:t xml:space="preserve"> is German law’s (</w:t>
      </w:r>
      <w:r>
        <w:rPr>
          <w:i/>
        </w:rPr>
        <w:t>α</w:t>
      </w:r>
      <w:r>
        <w:rPr>
          <w:sz w:val="20"/>
          <w:vertAlign w:val="subscript"/>
        </w:rPr>
        <w:t>2</w:t>
      </w:r>
      <w:r>
        <w:t>) respon</w:t>
      </w:r>
      <w:r>
        <w:t>se (</w:t>
      </w:r>
      <w:r>
        <w:rPr>
          <w:i/>
        </w:rPr>
        <w:t>β</w:t>
      </w:r>
      <w:r>
        <w:rPr>
          <w:sz w:val="20"/>
          <w:vertAlign w:val="subscript"/>
        </w:rPr>
        <w:t>2</w:t>
      </w:r>
      <w:r>
        <w:t xml:space="preserve">) to the same problem </w:t>
      </w:r>
      <w:r>
        <w:rPr>
          <w:i/>
        </w:rPr>
        <w:t>a</w:t>
      </w:r>
      <w:r>
        <w:t xml:space="preserve">, and so on. This approach enables the comparatist to focus not only on the similarity between institutions (the common problem </w:t>
      </w:r>
      <w:r>
        <w:rPr>
          <w:i/>
        </w:rPr>
        <w:t>a</w:t>
      </w:r>
      <w:r>
        <w:t xml:space="preserve"> and the institutions’ similar ability to respond to it) but also on the di</w:t>
      </w:r>
      <w:r>
        <w:rPr>
          <w:rFonts w:ascii="Calibri" w:eastAsia="Calibri" w:hAnsi="Calibri" w:cs="Calibri"/>
        </w:rPr>
        <w:t>ff</w:t>
      </w:r>
      <w:r>
        <w:t xml:space="preserve">erences (between </w:t>
      </w:r>
      <w:r>
        <w:rPr>
          <w:i/>
        </w:rPr>
        <w:t>α</w:t>
      </w:r>
      <w:r>
        <w:rPr>
          <w:sz w:val="20"/>
          <w:vertAlign w:val="subscript"/>
        </w:rPr>
        <w:t>1</w:t>
      </w:r>
      <w:r>
        <w:t xml:space="preserve"> a</w:t>
      </w:r>
      <w:r>
        <w:t xml:space="preserve">nd </w:t>
      </w:r>
      <w:r>
        <w:rPr>
          <w:i/>
        </w:rPr>
        <w:t>α</w:t>
      </w:r>
      <w:r>
        <w:rPr>
          <w:sz w:val="20"/>
          <w:vertAlign w:val="subscript"/>
        </w:rPr>
        <w:t>2</w:t>
      </w:r>
      <w:r>
        <w:t xml:space="preserve">, and between </w:t>
      </w:r>
      <w:r>
        <w:rPr>
          <w:i/>
        </w:rPr>
        <w:t>β</w:t>
      </w:r>
      <w:r>
        <w:rPr>
          <w:sz w:val="20"/>
          <w:vertAlign w:val="subscript"/>
        </w:rPr>
        <w:t>1</w:t>
      </w:r>
      <w:r>
        <w:t xml:space="preserve"> and </w:t>
      </w:r>
      <w:r>
        <w:rPr>
          <w:i/>
        </w:rPr>
        <w:t>β</w:t>
      </w:r>
      <w:r>
        <w:rPr>
          <w:sz w:val="20"/>
          <w:vertAlign w:val="subscript"/>
        </w:rPr>
        <w:t>2</w:t>
      </w:r>
      <w:r>
        <w:t>, respectively), and furthermore allows her to explain these di</w:t>
      </w:r>
      <w:r>
        <w:rPr>
          <w:rFonts w:ascii="Calibri" w:eastAsia="Calibri" w:hAnsi="Calibri" w:cs="Calibri"/>
        </w:rPr>
        <w:t>ff</w:t>
      </w:r>
      <w:r>
        <w:t>erences between institutions as a function (!) of the di</w:t>
      </w:r>
      <w:r>
        <w:rPr>
          <w:rFonts w:ascii="Calibri" w:eastAsia="Calibri" w:hAnsi="Calibri" w:cs="Calibri"/>
        </w:rPr>
        <w:t>ff</w:t>
      </w:r>
      <w:r>
        <w:t>erences between legal systems. Such formalization, while raising many problems (eg whether the social sci</w:t>
      </w:r>
      <w:r>
        <w:t>ences reveal the same degree of regularity as do mathematics and the natural sciences), is a promising step towards more rational comparative law.</w:t>
      </w:r>
    </w:p>
    <w:p w:rsidR="007479CF" w:rsidRDefault="00CD28B5">
      <w:pPr>
        <w:pStyle w:val="Heading2"/>
        <w:ind w:left="-5"/>
      </w:pPr>
      <w:r>
        <w:rPr>
          <w:rFonts w:ascii="Calibri" w:eastAsia="Calibri" w:hAnsi="Calibri" w:cs="Calibri"/>
        </w:rPr>
        <w:lastRenderedPageBreak/>
        <w:t></w:t>
      </w:r>
      <w:r>
        <w:t>. Equivalence Functionalism</w:t>
      </w:r>
    </w:p>
    <w:p w:rsidR="007479CF" w:rsidRDefault="00CD28B5">
      <w:pPr>
        <w:spacing w:after="324"/>
        <w:ind w:left="-15" w:right="-6" w:firstLine="0"/>
      </w:pPr>
      <w:r>
        <w:t>The insight that di</w:t>
      </w:r>
      <w:r>
        <w:rPr>
          <w:rFonts w:ascii="Calibri" w:eastAsia="Calibri" w:hAnsi="Calibri" w:cs="Calibri"/>
        </w:rPr>
        <w:t>ff</w:t>
      </w:r>
      <w:r>
        <w:t xml:space="preserve">erent elements can respond to the same problem is crucial. </w:t>
      </w:r>
      <w:r>
        <w:t>Finalism, adaptionism, and classical functionalism all contain traces of determinism and teleology: if similar problems cause similar solutions, then the solutions must somehow be inherent in the problems, and similar functions must be ful</w:t>
      </w:r>
      <w:r>
        <w:rPr>
          <w:rFonts w:ascii="Calibri" w:eastAsia="Calibri" w:hAnsi="Calibri" w:cs="Calibri"/>
        </w:rPr>
        <w:t>fi</w:t>
      </w:r>
      <w:r>
        <w:t>lled by the sam</w:t>
      </w:r>
      <w:r>
        <w:t xml:space="preserve">e kinds of institutions. Durkheim expressly rejected functional equivalence as </w:t>
      </w:r>
      <w:r>
        <w:rPr>
          <w:rFonts w:ascii="Calibri" w:eastAsia="Calibri" w:hAnsi="Calibri" w:cs="Calibri"/>
        </w:rPr>
        <w:t>fi</w:t>
      </w:r>
      <w:r>
        <w:t>nalist and proclaimed a remarkable similarity between institutions of di</w:t>
      </w:r>
      <w:r>
        <w:rPr>
          <w:rFonts w:ascii="Calibri" w:eastAsia="Calibri" w:hAnsi="Calibri" w:cs="Calibri"/>
        </w:rPr>
        <w:t>ff</w:t>
      </w:r>
      <w:r>
        <w:t xml:space="preserve">erent </w:t>
      </w:r>
      <w:r>
        <w:rPr>
          <w:rFonts w:ascii="Calibri" w:eastAsia="Calibri" w:hAnsi="Calibri" w:cs="Calibri"/>
        </w:rPr>
        <w:t></w:t>
      </w:r>
    </w:p>
    <w:p w:rsidR="007479CF" w:rsidRDefault="00CD28B5">
      <w:pPr>
        <w:ind w:left="-15" w:right="-6" w:firstLine="0"/>
      </w:pPr>
      <w:r>
        <w:t>societies as responses to functional requirements.</w:t>
      </w:r>
      <w:r>
        <w:rPr>
          <w:b/>
          <w:vertAlign w:val="superscript"/>
        </w:rPr>
        <w:t>86</w:t>
      </w:r>
      <w:r>
        <w:t xml:space="preserve"> Goldschmidt’s otherwise original study</w:t>
      </w:r>
      <w:r>
        <w:t xml:space="preserve"> of comparative functionalism in anthropology claimed that ‘certain social needs repeatedly call forth similar social institutions, that correlations between institutional forms can be found because, broadly speaking, they are the “natural” or “preferred” </w:t>
      </w:r>
      <w:r>
        <w:t>means by which certain necessary social tasks may best be performed in given circumstances’.</w:t>
      </w:r>
      <w:r>
        <w:rPr>
          <w:b/>
          <w:vertAlign w:val="superscript"/>
        </w:rPr>
        <w:footnoteReference w:id="69"/>
      </w:r>
      <w:r>
        <w:t xml:space="preserve"> Even Rabel marvelled at the </w:t>
      </w:r>
      <w:r>
        <w:rPr>
          <w:rFonts w:ascii="Calibri" w:eastAsia="Calibri" w:hAnsi="Calibri" w:cs="Calibri"/>
        </w:rPr>
        <w:t>fi</w:t>
      </w:r>
      <w:r>
        <w:t>nding of ‘essentially related institutions and developments’.</w:t>
      </w:r>
      <w:r>
        <w:rPr>
          <w:b/>
          <w:vertAlign w:val="superscript"/>
        </w:rPr>
        <w:footnoteReference w:id="70"/>
      </w:r>
    </w:p>
    <w:p w:rsidR="007479CF" w:rsidRDefault="00CD28B5">
      <w:pPr>
        <w:ind w:left="-15" w:right="-6"/>
      </w:pPr>
      <w:r>
        <w:t>Given how di</w:t>
      </w:r>
      <w:r>
        <w:rPr>
          <w:rFonts w:ascii="Calibri" w:eastAsia="Calibri" w:hAnsi="Calibri" w:cs="Calibri"/>
        </w:rPr>
        <w:t>ff</w:t>
      </w:r>
      <w:r>
        <w:t>erent institutions are in detail, such a view is hard</w:t>
      </w:r>
      <w:r>
        <w:t xml:space="preserve"> to maintain except in very abstract analysis; the similar institutions must be ideal types. Comparative lawyers, with their focus on details and speci</w:t>
      </w:r>
      <w:r>
        <w:rPr>
          <w:rFonts w:ascii="Calibri" w:eastAsia="Calibri" w:hAnsi="Calibri" w:cs="Calibri"/>
        </w:rPr>
        <w:t>fi</w:t>
      </w:r>
      <w:r>
        <w:t>cities, have long known this. They knew on the one hand that similar institutions can ful</w:t>
      </w:r>
      <w:r>
        <w:rPr>
          <w:rFonts w:ascii="Calibri" w:eastAsia="Calibri" w:hAnsi="Calibri" w:cs="Calibri"/>
        </w:rPr>
        <w:t>fi</w:t>
      </w:r>
      <w:r>
        <w:t>l di</w:t>
      </w:r>
      <w:r>
        <w:rPr>
          <w:rFonts w:ascii="Calibri" w:eastAsia="Calibri" w:hAnsi="Calibri" w:cs="Calibri"/>
        </w:rPr>
        <w:t>ff</w:t>
      </w:r>
      <w:r>
        <w:t>erent functions in di</w:t>
      </w:r>
      <w:r>
        <w:rPr>
          <w:rFonts w:ascii="Calibri" w:eastAsia="Calibri" w:hAnsi="Calibri" w:cs="Calibri"/>
        </w:rPr>
        <w:t>ff</w:t>
      </w:r>
      <w:r>
        <w:t>erent societies or at di</w:t>
      </w:r>
      <w:r>
        <w:rPr>
          <w:rFonts w:ascii="Calibri" w:eastAsia="Calibri" w:hAnsi="Calibri" w:cs="Calibri"/>
        </w:rPr>
        <w:t>ff</w:t>
      </w:r>
      <w:r>
        <w:t>erent times,</w:t>
      </w:r>
      <w:r>
        <w:rPr>
          <w:b/>
          <w:vertAlign w:val="superscript"/>
        </w:rPr>
        <w:footnoteReference w:id="71"/>
      </w:r>
      <w:r>
        <w:t xml:space="preserve"> and they found, on the other hand, that similar functional needs can be ful</w:t>
      </w:r>
      <w:r>
        <w:rPr>
          <w:rFonts w:ascii="Calibri" w:eastAsia="Calibri" w:hAnsi="Calibri" w:cs="Calibri"/>
        </w:rPr>
        <w:t>fi</w:t>
      </w:r>
      <w:r>
        <w:t>lled by di</w:t>
      </w:r>
      <w:r>
        <w:rPr>
          <w:rFonts w:ascii="Calibri" w:eastAsia="Calibri" w:hAnsi="Calibri" w:cs="Calibri"/>
        </w:rPr>
        <w:t>ff</w:t>
      </w:r>
      <w:r>
        <w:t xml:space="preserve">erent </w:t>
      </w:r>
      <w:r>
        <w:t>institutions, the idea of the functional equivalent. This idea, central to functionalist comparative law, appears in all kinds of functionalism: Max Salomon’s focus on problems as the unifying element of general jurisprudence enabled scholars to see di</w:t>
      </w:r>
      <w:r>
        <w:rPr>
          <w:rFonts w:ascii="Calibri" w:eastAsia="Calibri" w:hAnsi="Calibri" w:cs="Calibri"/>
        </w:rPr>
        <w:t>ff</w:t>
      </w:r>
      <w:r>
        <w:t>er</w:t>
      </w:r>
      <w:r>
        <w:t>ent solutions as functionally equivalent;</w:t>
      </w:r>
      <w:r>
        <w:rPr>
          <w:b/>
          <w:vertAlign w:val="superscript"/>
        </w:rPr>
        <w:footnoteReference w:id="72"/>
      </w:r>
      <w:r>
        <w:t xml:space="preserve"> Josef Esser developed the concept for comparative law;</w:t>
      </w:r>
      <w:r>
        <w:rPr>
          <w:b/>
          <w:vertAlign w:val="superscript"/>
        </w:rPr>
        <w:t>91</w:t>
      </w:r>
      <w:r>
        <w:t xml:space="preserve"> and Konrad Zweigert made it the central point of his approach to comparative law and an important tool in seeing universalities in what may look like di</w:t>
      </w:r>
      <w:r>
        <w:rPr>
          <w:rFonts w:ascii="Calibri" w:eastAsia="Calibri" w:hAnsi="Calibri" w:cs="Calibri"/>
        </w:rPr>
        <w:t>ff</w:t>
      </w:r>
      <w:r>
        <w:t>e</w:t>
      </w:r>
      <w:r>
        <w:t>rences.</w:t>
      </w:r>
      <w:r>
        <w:rPr>
          <w:b/>
          <w:vertAlign w:val="superscript"/>
        </w:rPr>
        <w:footnoteReference w:id="73"/>
      </w:r>
    </w:p>
    <w:p w:rsidR="007479CF" w:rsidRDefault="00CD28B5">
      <w:pPr>
        <w:spacing w:after="521"/>
        <w:ind w:left="-15" w:right="-6"/>
      </w:pPr>
      <w:r>
        <w:lastRenderedPageBreak/>
        <w:t>Indeed, the recognition of functional equivalents gave a boost to the possibilities for comparative law. In particular, the comparison between common law and civil law has traditionally tempted functionalists, for two reasons: First, functionalist comparis</w:t>
      </w:r>
      <w:r>
        <w:t>on overcomes the epistemic/doctrinal di</w:t>
      </w:r>
      <w:r>
        <w:rPr>
          <w:rFonts w:ascii="Calibri" w:eastAsia="Calibri" w:hAnsi="Calibri" w:cs="Calibri"/>
        </w:rPr>
        <w:t>ff</w:t>
      </w:r>
      <w:r>
        <w:t>erence between civil and common law by declaring it functionally irrelevant. Second, the common law with its</w:t>
      </w:r>
    </w:p>
    <w:p w:rsidR="007479CF" w:rsidRDefault="00CD28B5">
      <w:pPr>
        <w:spacing w:after="4" w:line="248" w:lineRule="auto"/>
        <w:ind w:left="-15" w:firstLine="165"/>
      </w:pPr>
      <w:r>
        <w:rPr>
          <w:b/>
          <w:sz w:val="18"/>
          <w:vertAlign w:val="superscript"/>
        </w:rPr>
        <w:t xml:space="preserve">86 </w:t>
      </w:r>
      <w:r>
        <w:rPr>
          <w:sz w:val="18"/>
        </w:rPr>
        <w:t xml:space="preserve">Durkheim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‘En fait, quand on est entré quelque peu en contact avec les phénomènes sociaux, </w:t>
      </w:r>
      <w:r>
        <w:rPr>
          <w:sz w:val="18"/>
        </w:rPr>
        <w:t>on est . . . surpris de l’étonnante régularité avec laquelle ils se reproduisent dans les mêmes circonstances. Même les pratiques les plus minutieuses et, en apparence, les plus puériles, se répètent avec la plus étonnante uniformité.’ (In fact, once on ge</w:t>
      </w:r>
      <w:r>
        <w:rPr>
          <w:sz w:val="18"/>
        </w:rPr>
        <w:t>ts into some contact with social phenomena, one is surprised at the astonishing regularity with which they are reproduced under the same circumstances. Even the most minute practices and the seemingly most puerile ones are repeated with the most astonishin</w:t>
      </w:r>
      <w:r>
        <w:rPr>
          <w:sz w:val="18"/>
        </w:rPr>
        <w:t>g uniformity.)</w:t>
      </w:r>
    </w:p>
    <w:p w:rsidR="007479CF" w:rsidRDefault="00CD28B5">
      <w:pPr>
        <w:pStyle w:val="Heading3"/>
        <w:ind w:left="-5"/>
      </w:pPr>
      <w:r>
        <w:t></w:t>
      </w:r>
    </w:p>
    <w:p w:rsidR="007479CF" w:rsidRDefault="00CD28B5">
      <w:pPr>
        <w:ind w:left="-15" w:right="-6" w:firstLine="0"/>
      </w:pPr>
      <w:r>
        <w:t>organic development should be particularly apt for functional understanding. Not surprisingly then, some of the most in</w:t>
      </w:r>
      <w:r>
        <w:rPr>
          <w:rFonts w:ascii="Calibri" w:eastAsia="Calibri" w:hAnsi="Calibri" w:cs="Calibri"/>
        </w:rPr>
        <w:t>fl</w:t>
      </w:r>
      <w:r>
        <w:t>uential works applying the functional method have focused on institutions from the common law and their functional e</w:t>
      </w:r>
      <w:r>
        <w:t>quivalents in the civil law, for example trusts</w:t>
      </w:r>
      <w:r>
        <w:rPr>
          <w:b/>
          <w:vertAlign w:val="superscript"/>
        </w:rPr>
        <w:footnoteReference w:id="74"/>
      </w:r>
      <w:r>
        <w:t xml:space="preserve"> and consideration.</w:t>
      </w:r>
      <w:r>
        <w:rPr>
          <w:b/>
          <w:vertAlign w:val="superscript"/>
        </w:rPr>
        <w:footnoteReference w:id="75"/>
      </w:r>
      <w:r>
        <w:t xml:space="preserve"> Some even found functionalism helpful for intersystemic comparison between socialist and capitalist legal systems.</w:t>
      </w:r>
      <w:r>
        <w:rPr>
          <w:b/>
          <w:vertAlign w:val="superscript"/>
        </w:rPr>
        <w:footnoteReference w:id="76"/>
      </w:r>
      <w:r>
        <w:t xml:space="preserve"> Yet equivalence functionalism in comparative law has always been exp</w:t>
      </w:r>
      <w:r>
        <w:t>licated by examples rather than developed theoretically.</w:t>
      </w:r>
      <w:r>
        <w:rPr>
          <w:b/>
          <w:vertAlign w:val="superscript"/>
        </w:rPr>
        <w:footnoteReference w:id="77"/>
      </w:r>
      <w:r>
        <w:t xml:space="preserve"> Thus, it is not clear whether functional equivalence suggests some uniformity of values beyond the universality of problems. Likewise, the concept of a function suggests a comparatively naïve relat</w:t>
      </w:r>
      <w:r>
        <w:t>ion between the problem and the institution, either between cause and e</w:t>
      </w:r>
      <w:r>
        <w:rPr>
          <w:rFonts w:ascii="Calibri" w:eastAsia="Calibri" w:hAnsi="Calibri" w:cs="Calibri"/>
        </w:rPr>
        <w:t>ff</w:t>
      </w:r>
      <w:r>
        <w:t>ect (so that the problem causes an institution to exist), or between purpose and implementation (so that a legal solution serves the purpose of solving a recognized problem).</w:t>
      </w:r>
    </w:p>
    <w:p w:rsidR="007479CF" w:rsidRDefault="00CD28B5">
      <w:pPr>
        <w:spacing w:after="318"/>
        <w:ind w:left="-15" w:right="-6"/>
      </w:pPr>
      <w:r>
        <w:t>Here, co</w:t>
      </w:r>
      <w:r>
        <w:t>mparative law could pro</w:t>
      </w:r>
      <w:r>
        <w:rPr>
          <w:rFonts w:ascii="Calibri" w:eastAsia="Calibri" w:hAnsi="Calibri" w:cs="Calibri"/>
        </w:rPr>
        <w:t>fi</w:t>
      </w:r>
      <w:r>
        <w:t xml:space="preserve">t from sociological equivalence functionalism as developed especially by Niklas Luhmann (who in turn was </w:t>
      </w:r>
      <w:r>
        <w:lastRenderedPageBreak/>
        <w:t>in</w:t>
      </w:r>
      <w:r>
        <w:rPr>
          <w:rFonts w:ascii="Calibri" w:eastAsia="Calibri" w:hAnsi="Calibri" w:cs="Calibri"/>
        </w:rPr>
        <w:t>fl</w:t>
      </w:r>
      <w:r>
        <w:t>uenced not only by Merton but also by Cassirer). Merton questioned the postulate of indispensability, according to which e</w:t>
      </w:r>
      <w:r>
        <w:t>very element in a society is indispensable for the working of the system, and pointed out that even indispensable necessities can be met by di</w:t>
      </w:r>
      <w:r>
        <w:rPr>
          <w:rFonts w:ascii="Calibri" w:eastAsia="Calibri" w:hAnsi="Calibri" w:cs="Calibri"/>
        </w:rPr>
        <w:t>ff</w:t>
      </w:r>
      <w:r>
        <w:t>erent institutions that act as functional substitutes or functional equivalents.</w:t>
      </w:r>
      <w:r>
        <w:rPr>
          <w:b/>
          <w:vertAlign w:val="superscript"/>
        </w:rPr>
        <w:t>97</w:t>
      </w:r>
      <w:r>
        <w:t xml:space="preserve"> Cassirer’s epistemology provi</w:t>
      </w:r>
      <w:r>
        <w:t>ded a formalized version of the argument. Functional equivalence means that similar problems may lead to di</w:t>
      </w:r>
      <w:r>
        <w:rPr>
          <w:rFonts w:ascii="Calibri" w:eastAsia="Calibri" w:hAnsi="Calibri" w:cs="Calibri"/>
        </w:rPr>
        <w:t>ff</w:t>
      </w:r>
      <w:r>
        <w:t>erent solutions; the solutions are similar only in their relation to the speci</w:t>
      </w:r>
      <w:r>
        <w:rPr>
          <w:rFonts w:ascii="Calibri" w:eastAsia="Calibri" w:hAnsi="Calibri" w:cs="Calibri"/>
        </w:rPr>
        <w:t>fi</w:t>
      </w:r>
      <w:r>
        <w:t>c function under which they are regarded. Luhmann brings the two to</w:t>
      </w:r>
      <w:r>
        <w:t>gether to overcome a main problem of classical functionalism—the problem that functions either are nothing more than causal relations, or contain an element of teleology. Equivalence functionalism by contrast explains an institution as a possible but not n</w:t>
      </w:r>
      <w:r>
        <w:t>ecessary response to a problem, as one contingent solution amongst several possibilities. As a consequence, the speci</w:t>
      </w:r>
      <w:r>
        <w:rPr>
          <w:rFonts w:ascii="Calibri" w:eastAsia="Calibri" w:hAnsi="Calibri" w:cs="Calibri"/>
        </w:rPr>
        <w:t>fi</w:t>
      </w:r>
      <w:r>
        <w:t>city of a system in the presence of (certain) universal problems lies in its decision for one against all other (functionally equivalent)</w:t>
      </w:r>
      <w:r>
        <w:t xml:space="preserve"> </w:t>
      </w:r>
      <w:r>
        <w:rPr>
          <w:rFonts w:ascii="Calibri" w:eastAsia="Calibri" w:hAnsi="Calibri" w:cs="Calibri"/>
        </w:rPr>
        <w:t></w:t>
      </w:r>
    </w:p>
    <w:p w:rsidR="007479CF" w:rsidRDefault="00CD28B5">
      <w:pPr>
        <w:ind w:left="-15" w:right="-6" w:firstLine="0"/>
      </w:pPr>
      <w:r>
        <w:t>solutions.</w:t>
      </w:r>
      <w:r>
        <w:rPr>
          <w:b/>
          <w:vertAlign w:val="superscript"/>
        </w:rPr>
        <w:t>98</w:t>
      </w:r>
      <w:r>
        <w:t xml:space="preserve"> Legal developments are thus no longer necessary but only possible, not predetermined but contingent.</w:t>
      </w:r>
      <w:r>
        <w:rPr>
          <w:b/>
          <w:vertAlign w:val="superscript"/>
        </w:rPr>
        <w:t>99</w:t>
      </w:r>
      <w:r>
        <w:t xml:space="preserve"> This method in turn requires an understanding of society (and its subsystems, including law) as a system constituted by the relation of its elements, rather than set up by elements that are independent of each other.</w:t>
      </w:r>
      <w:r>
        <w:rPr>
          <w:b/>
          <w:vertAlign w:val="superscript"/>
        </w:rPr>
        <w:t>100</w:t>
      </w:r>
      <w:r>
        <w:t xml:space="preserve"> It does not avoid the criticism of </w:t>
      </w:r>
      <w:r>
        <w:t xml:space="preserve">tautology—institutions are still understood with regard to problems, and problems are understood as such by their relation to institutions. But because Luhmann’s functionalism is constructivist, he can use these tautologies as the means by which societies </w:t>
      </w:r>
      <w:r>
        <w:t>constitute themselves, by which they make sense of institutions.</w:t>
      </w:r>
    </w:p>
    <w:p w:rsidR="007479CF" w:rsidRDefault="00CD28B5">
      <w:pPr>
        <w:spacing w:after="311"/>
        <w:ind w:left="-15" w:right="-6"/>
      </w:pPr>
      <w:r>
        <w:t>Although Luhmann emphasizes that ‘the functional method is ultimately a comparative one’</w:t>
      </w:r>
      <w:r>
        <w:rPr>
          <w:b/>
          <w:vertAlign w:val="superscript"/>
        </w:rPr>
        <w:footnoteReference w:id="78"/>
      </w:r>
      <w:r>
        <w:t xml:space="preserve"> and occasionally suggests the comparison of systems as a valuable project of veri</w:t>
      </w:r>
      <w:r>
        <w:rPr>
          <w:rFonts w:ascii="Calibri" w:eastAsia="Calibri" w:hAnsi="Calibri" w:cs="Calibri"/>
        </w:rPr>
        <w:t>fi</w:t>
      </w:r>
      <w:r>
        <w:t>cation,</w:t>
      </w:r>
      <w:r>
        <w:rPr>
          <w:b/>
          <w:vertAlign w:val="superscript"/>
        </w:rPr>
        <w:footnoteReference w:id="79"/>
      </w:r>
      <w:r>
        <w:t xml:space="preserve"> he does</w:t>
      </w:r>
      <w:r>
        <w:t xml:space="preserve"> not, apart from a passing reference to Josef Esser,</w:t>
      </w:r>
      <w:r>
        <w:rPr>
          <w:b/>
          <w:vertAlign w:val="superscript"/>
        </w:rPr>
        <w:footnoteReference w:id="80"/>
      </w:r>
      <w:r>
        <w:t xml:space="preserve"> use this for comparative law. Functionalist comparative law in turn has rarely reacted to Luhmann’s method,</w:t>
      </w:r>
      <w:r>
        <w:rPr>
          <w:b/>
          <w:vertAlign w:val="superscript"/>
        </w:rPr>
        <w:footnoteReference w:id="81"/>
      </w:r>
      <w:r>
        <w:t xml:space="preserve"> despite the similar focus on functional equivalence.</w:t>
      </w:r>
      <w:r>
        <w:rPr>
          <w:b/>
          <w:vertAlign w:val="superscript"/>
        </w:rPr>
        <w:footnoteReference w:id="82"/>
      </w:r>
      <w:r>
        <w:t xml:space="preserve"> This is unfortunate. Of course, Luhm</w:t>
      </w:r>
      <w:r>
        <w:t xml:space="preserve">ann’s systems theory has been </w:t>
      </w:r>
      <w:r>
        <w:lastRenderedPageBreak/>
        <w:t>criticized severely—as being indi</w:t>
      </w:r>
      <w:r>
        <w:rPr>
          <w:rFonts w:ascii="Calibri" w:eastAsia="Calibri" w:hAnsi="Calibri" w:cs="Calibri"/>
        </w:rPr>
        <w:t>ff</w:t>
      </w:r>
      <w:r>
        <w:t>erent to individuals, inherently conservative (again), and as ignorant of the permeability of systems. Yet all these criticisms can also be launched against functionalist comparative law as i</w:t>
      </w:r>
      <w:r>
        <w:t>t stands; they are not reasons against enriching current functionalism with Luhmann’s constructivism.</w:t>
      </w:r>
    </w:p>
    <w:p w:rsidR="007479CF" w:rsidRDefault="00CD28B5">
      <w:pPr>
        <w:numPr>
          <w:ilvl w:val="0"/>
          <w:numId w:val="4"/>
        </w:numPr>
        <w:spacing w:after="4" w:line="248" w:lineRule="auto"/>
        <w:ind w:firstLine="230"/>
      </w:pPr>
      <w:r>
        <w:rPr>
          <w:sz w:val="18"/>
        </w:rPr>
        <w:t>Niklas Luhmann, ‘Funktion und Kausalität’,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Kölner Zeitschrift für Soziologie und Sozialpsychologie</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xml:space="preserve">; reprinted in </w:t>
      </w:r>
      <w:r>
        <w:rPr>
          <w:i/>
          <w:sz w:val="18"/>
        </w:rPr>
        <w:t>Soziologische Aufklärung</w:t>
      </w:r>
      <w:r>
        <w:rPr>
          <w:sz w:val="18"/>
        </w:rPr>
        <w:t xml:space="preserve"> (vol I, </w:t>
      </w:r>
      <w:r>
        <w:rPr>
          <w:rFonts w:ascii="Calibri" w:eastAsia="Calibri" w:hAnsi="Calibri" w:cs="Calibri"/>
          <w:sz w:val="18"/>
        </w:rPr>
        <w:t></w:t>
      </w:r>
      <w:r>
        <w:rPr>
          <w:sz w:val="18"/>
        </w:rPr>
        <w:t xml:space="preserve">th edn,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For the parallel concept of equi</w:t>
      </w:r>
      <w:r>
        <w:rPr>
          <w:rFonts w:ascii="Calibri" w:eastAsia="Calibri" w:hAnsi="Calibri" w:cs="Calibri"/>
          <w:sz w:val="18"/>
        </w:rPr>
        <w:t>fi</w:t>
      </w:r>
      <w:r>
        <w:rPr>
          <w:sz w:val="18"/>
        </w:rPr>
        <w:t>nality, see Ludwig von Bertalan</w:t>
      </w:r>
      <w:r>
        <w:rPr>
          <w:rFonts w:ascii="Calibri" w:eastAsia="Calibri" w:hAnsi="Calibri" w:cs="Calibri"/>
          <w:sz w:val="18"/>
        </w:rPr>
        <w:t>ff</w:t>
      </w:r>
      <w:r>
        <w:rPr>
          <w:sz w:val="18"/>
        </w:rPr>
        <w:t>y, ‘Der Organismus als physikalisches System betrachtet’,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Naturwissenschaften</w:t>
      </w:r>
      <w:r>
        <w:rPr>
          <w:sz w:val="18"/>
        </w:rPr>
        <w:t xml:space="preserve"> </w:t>
      </w:r>
      <w:r>
        <w:rPr>
          <w:rFonts w:ascii="Calibri" w:eastAsia="Calibri" w:hAnsi="Calibri" w:cs="Calibri"/>
          <w:sz w:val="18"/>
        </w:rPr>
        <w:t></w:t>
      </w:r>
      <w:r>
        <w:rPr>
          <w:sz w:val="18"/>
        </w:rPr>
        <w:t xml:space="preserve">; </w:t>
      </w:r>
      <w:r>
        <w:rPr>
          <w:i/>
          <w:sz w:val="18"/>
        </w:rPr>
        <w:t>idem</w:t>
      </w:r>
      <w:r>
        <w:rPr>
          <w:sz w:val="18"/>
        </w:rPr>
        <w:t xml:space="preserve">, ‘General Systems Theory’, in </w:t>
      </w:r>
      <w:r>
        <w:rPr>
          <w:i/>
          <w:sz w:val="18"/>
        </w:rPr>
        <w:t xml:space="preserve">idem, Main Currents of Modern </w:t>
      </w:r>
      <w:r>
        <w:rPr>
          <w:i/>
          <w:sz w:val="18"/>
        </w:rPr>
        <w:t>Thought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reprinted in Demerath and Peterson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 ff</w:t>
      </w:r>
      <w:r>
        <w:rPr>
          <w:sz w:val="18"/>
        </w:rPr>
        <w:t>.</w:t>
      </w:r>
    </w:p>
    <w:p w:rsidR="007479CF" w:rsidRDefault="00CD28B5">
      <w:pPr>
        <w:numPr>
          <w:ilvl w:val="0"/>
          <w:numId w:val="4"/>
        </w:numPr>
        <w:spacing w:after="4" w:line="248" w:lineRule="auto"/>
        <w:ind w:firstLine="230"/>
      </w:pPr>
      <w:r>
        <w:rPr>
          <w:sz w:val="18"/>
        </w:rPr>
        <w:t xml:space="preserve">cf Gunther Teubner, </w:t>
      </w:r>
      <w:r>
        <w:rPr>
          <w:i/>
          <w:sz w:val="18"/>
        </w:rPr>
        <w:t>Recht als autopoietisches System</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 xml:space="preserve"> </w:t>
      </w:r>
      <w:r>
        <w:rPr>
          <w:sz w:val="18"/>
        </w:rPr>
        <w:t xml:space="preserve">f against Gordon’s criticism of functionalism (n </w:t>
      </w:r>
      <w:r>
        <w:rPr>
          <w:rFonts w:ascii="Calibri" w:eastAsia="Calibri" w:hAnsi="Calibri" w:cs="Calibri"/>
          <w:sz w:val="18"/>
        </w:rPr>
        <w:t></w:t>
      </w:r>
      <w:r>
        <w:rPr>
          <w:sz w:val="18"/>
        </w:rPr>
        <w:t>).</w:t>
      </w:r>
    </w:p>
    <w:p w:rsidR="007479CF" w:rsidRDefault="00CD28B5">
      <w:pPr>
        <w:numPr>
          <w:ilvl w:val="0"/>
          <w:numId w:val="4"/>
        </w:numPr>
        <w:spacing w:after="4" w:line="248" w:lineRule="auto"/>
        <w:ind w:firstLine="230"/>
      </w:pPr>
      <w:r>
        <w:rPr>
          <w:sz w:val="18"/>
        </w:rPr>
        <w:t>‘Niklas Luhmann, ‘</w:t>
      </w:r>
      <w:r>
        <w:rPr>
          <w:sz w:val="18"/>
        </w:rPr>
        <w:t>Funktionale Methode und Systemtheorie’;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Soziale Welt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xml:space="preserve">; reprinted in </w:t>
      </w:r>
      <w:r>
        <w:rPr>
          <w:i/>
          <w:sz w:val="18"/>
        </w:rPr>
        <w:t>idem</w:t>
      </w:r>
      <w:r>
        <w:rPr>
          <w:sz w:val="18"/>
        </w:rPr>
        <w:t xml:space="preserve">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xml:space="preserve">; </w:t>
      </w:r>
      <w:r>
        <w:rPr>
          <w:i/>
          <w:sz w:val="18"/>
        </w:rPr>
        <w:t>idem, Soziale Systeme</w:t>
      </w:r>
      <w:r>
        <w:rPr>
          <w:sz w:val="18"/>
        </w:rPr>
        <w:t xml:space="preserve"> (</w:t>
      </w:r>
      <w:r>
        <w:rPr>
          <w:rFonts w:ascii="Calibri" w:eastAsia="Calibri" w:hAnsi="Calibri" w:cs="Calibri"/>
          <w:sz w:val="18"/>
        </w:rPr>
        <w:t></w:t>
      </w:r>
      <w:r>
        <w:rPr>
          <w:sz w:val="18"/>
        </w:rPr>
        <w:t xml:space="preserve">), especially at </w:t>
      </w:r>
      <w:r>
        <w:rPr>
          <w:rFonts w:ascii="Calibri" w:eastAsia="Calibri" w:hAnsi="Calibri" w:cs="Calibri"/>
          <w:sz w:val="18"/>
        </w:rPr>
        <w:t> ff</w:t>
      </w:r>
      <w:r>
        <w:rPr>
          <w:sz w:val="18"/>
        </w:rPr>
        <w:t xml:space="preserve">; English translation under the title of </w:t>
      </w:r>
      <w:r>
        <w:rPr>
          <w:i/>
          <w:sz w:val="18"/>
        </w:rPr>
        <w:t>Social Systems</w:t>
      </w:r>
      <w:r>
        <w:rPr>
          <w:sz w:val="18"/>
        </w:rPr>
        <w:t xml:space="preserve"> by John Bednarz and Dirk Baecker (</w:t>
      </w:r>
      <w:r>
        <w:rPr>
          <w:rFonts w:ascii="Calibri" w:eastAsia="Calibri" w:hAnsi="Calibri" w:cs="Calibri"/>
          <w:sz w:val="18"/>
        </w:rPr>
        <w:t></w:t>
      </w:r>
      <w:r>
        <w:rPr>
          <w:sz w:val="18"/>
        </w:rPr>
        <w:t xml:space="preserve">), </w:t>
      </w:r>
      <w:r>
        <w:rPr>
          <w:rFonts w:ascii="Calibri" w:eastAsia="Calibri" w:hAnsi="Calibri" w:cs="Calibri"/>
          <w:sz w:val="18"/>
        </w:rPr>
        <w:t> ff</w:t>
      </w:r>
      <w:r>
        <w:rPr>
          <w:sz w:val="18"/>
        </w:rPr>
        <w:t>; c</w:t>
      </w:r>
      <w:r>
        <w:rPr>
          <w:sz w:val="18"/>
        </w:rPr>
        <w:t xml:space="preserve">f Stefan Jensen, ‘Funktionalismus und Systemtheorie—von Parsons zu Luhmann’, in Jetzkowitz and Stark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w:t>
      </w:r>
    </w:p>
    <w:p w:rsidR="007479CF" w:rsidRDefault="00CD28B5">
      <w:pPr>
        <w:pStyle w:val="Heading3"/>
        <w:spacing w:after="362"/>
        <w:ind w:left="-5"/>
      </w:pPr>
      <w:r>
        <w:t></w:t>
      </w:r>
    </w:p>
    <w:p w:rsidR="007479CF" w:rsidRDefault="00CD28B5">
      <w:pPr>
        <w:spacing w:after="21" w:line="259" w:lineRule="auto"/>
        <w:ind w:left="-5" w:hanging="10"/>
        <w:jc w:val="left"/>
      </w:pPr>
      <w:r>
        <w:rPr>
          <w:rFonts w:ascii="Calibri" w:eastAsia="Calibri" w:hAnsi="Calibri" w:cs="Calibri"/>
          <w:b/>
          <w:sz w:val="28"/>
        </w:rPr>
        <w:t></w:t>
      </w:r>
      <w:r>
        <w:rPr>
          <w:b/>
          <w:sz w:val="28"/>
        </w:rPr>
        <w:t>. Functionalist Comparative Law: Synthesis or Eclecticism?</w:t>
      </w:r>
    </w:p>
    <w:p w:rsidR="007479CF" w:rsidRDefault="00CD28B5">
      <w:pPr>
        <w:ind w:left="-15" w:right="-6" w:firstLine="0"/>
      </w:pPr>
      <w:r>
        <w:t>Which of these concepts underlies the functional method of comparative law? The answer is: all of the above. Comparative lawyers pick and choose di</w:t>
      </w:r>
      <w:r>
        <w:rPr>
          <w:rFonts w:ascii="Calibri" w:eastAsia="Calibri" w:hAnsi="Calibri" w:cs="Calibri"/>
        </w:rPr>
        <w:t>ff</w:t>
      </w:r>
      <w:r>
        <w:t>erent concepts, regardless of their incompatibility.</w:t>
      </w:r>
      <w:r>
        <w:rPr>
          <w:b/>
          <w:vertAlign w:val="superscript"/>
        </w:rPr>
        <w:footnoteReference w:id="83"/>
      </w:r>
      <w:r>
        <w:t xml:space="preserve"> There is still a strong faith that the similarities </w:t>
      </w:r>
      <w:r>
        <w:t>between di</w:t>
      </w:r>
      <w:r>
        <w:rPr>
          <w:rFonts w:ascii="Calibri" w:eastAsia="Calibri" w:hAnsi="Calibri" w:cs="Calibri"/>
        </w:rPr>
        <w:t>ff</w:t>
      </w:r>
      <w:r>
        <w:t>erent legal orders revealed by the functional method are neither the result of circular reasoning, nor mere evidence of similar needs between societies, but proof of deeper universal values. While this suggests an Aristotelian background, elsew</w:t>
      </w:r>
      <w:r>
        <w:t>here functionalists place themselves outside of legal philosophy and within legal sociology and emphasize objective needs over contingent values. In the concept of function itself, comparative lawyers borrow, if inadvertently, the antimetaphysical focus of</w:t>
      </w:r>
      <w:r>
        <w:t xml:space="preserve"> epistemological functionalism as opposed to an essential concept of legal institutions; they understand institutions through their relation to problems. But it is not clear whether this concept of function is teleological or not. Sometimes comparatists us</w:t>
      </w:r>
      <w:r>
        <w:t>e functions in an openly teleological fashion, as a way towards progress reminiscent of adaptionism—when only legal systems at similar stages of evolution are deemed comparable,</w:t>
      </w:r>
      <w:r>
        <w:rPr>
          <w:b/>
          <w:vertAlign w:val="superscript"/>
        </w:rPr>
        <w:footnoteReference w:id="84"/>
      </w:r>
      <w:r>
        <w:t xml:space="preserve"> or when the development of the law is deemed important for the discovery of </w:t>
      </w:r>
      <w:r>
        <w:t>its function,</w:t>
      </w:r>
      <w:r>
        <w:rPr>
          <w:b/>
          <w:vertAlign w:val="superscript"/>
        </w:rPr>
        <w:footnoteReference w:id="85"/>
      </w:r>
      <w:r>
        <w:t xml:space="preserve"> a combination of cause and function that is anathema to Durkheim’s postulates. Sometimes comparatists focus on legal institutions as tools for the preservation of stability, something more akin to classical functionalism. But then it is oft</w:t>
      </w:r>
      <w:r>
        <w:t>en unclear whether they include latent functions in their focus on what laws do in e</w:t>
      </w:r>
      <w:r>
        <w:rPr>
          <w:rFonts w:ascii="Calibri" w:eastAsia="Calibri" w:hAnsi="Calibri" w:cs="Calibri"/>
        </w:rPr>
        <w:t>ff</w:t>
      </w:r>
      <w:r>
        <w:t>ect, or whether they con</w:t>
      </w:r>
      <w:r>
        <w:rPr>
          <w:rFonts w:ascii="Calibri" w:eastAsia="Calibri" w:hAnsi="Calibri" w:cs="Calibri"/>
        </w:rPr>
        <w:t>fi</w:t>
      </w:r>
      <w:r>
        <w:t xml:space="preserve">ne themselves to manifest functions, as in instrumentalism and social engineering. And </w:t>
      </w:r>
      <w:r>
        <w:rPr>
          <w:rFonts w:ascii="Calibri" w:eastAsia="Calibri" w:hAnsi="Calibri" w:cs="Calibri"/>
        </w:rPr>
        <w:t>fi</w:t>
      </w:r>
      <w:r>
        <w:t>nally, the claim that ‘there will always remain . . . a</w:t>
      </w:r>
      <w:r>
        <w:t>n area where only sound judgment, common sense, or even intuition can be of any help’</w:t>
      </w:r>
      <w:r>
        <w:rPr>
          <w:b/>
          <w:vertAlign w:val="superscript"/>
        </w:rPr>
        <w:footnoteReference w:id="86"/>
      </w:r>
      <w:r>
        <w:t xml:space="preserve"> has an irrational ring to it that would, it seems, altogether distance functional comparative law from the scienti</w:t>
      </w:r>
      <w:r>
        <w:rPr>
          <w:rFonts w:ascii="Calibri" w:eastAsia="Calibri" w:hAnsi="Calibri" w:cs="Calibri"/>
        </w:rPr>
        <w:t>fi</w:t>
      </w:r>
      <w:r>
        <w:t>c aspirations of functionalism in all other discipli</w:t>
      </w:r>
      <w:r>
        <w:t>nes.</w:t>
      </w:r>
      <w:r>
        <w:rPr>
          <w:b/>
          <w:vertAlign w:val="superscript"/>
        </w:rPr>
        <w:footnoteReference w:id="87"/>
      </w:r>
    </w:p>
    <w:p w:rsidR="007479CF" w:rsidRDefault="00CD28B5">
      <w:pPr>
        <w:spacing w:after="319"/>
        <w:ind w:left="-15" w:right="-6"/>
      </w:pPr>
      <w:r>
        <w:t>In particular, the functionalism of sociology and that of law are di</w:t>
      </w:r>
      <w:r>
        <w:rPr>
          <w:rFonts w:ascii="Calibri" w:eastAsia="Calibri" w:hAnsi="Calibri" w:cs="Calibri"/>
        </w:rPr>
        <w:t>ff</w:t>
      </w:r>
      <w:r>
        <w:t>erent. First, sociologists and lawyers use di</w:t>
      </w:r>
      <w:r>
        <w:rPr>
          <w:rFonts w:ascii="Calibri" w:eastAsia="Calibri" w:hAnsi="Calibri" w:cs="Calibri"/>
        </w:rPr>
        <w:t>ff</w:t>
      </w:r>
      <w:r>
        <w:t>erent concepts of function.</w:t>
      </w:r>
      <w:r>
        <w:rPr>
          <w:b/>
          <w:vertAlign w:val="superscript"/>
        </w:rPr>
        <w:footnoteReference w:id="88"/>
      </w:r>
      <w:r>
        <w:t xml:space="preserve"> While sociological </w:t>
      </w:r>
      <w:r>
        <w:rPr>
          <w:rFonts w:ascii="Calibri" w:eastAsia="Calibri" w:hAnsi="Calibri" w:cs="Calibri"/>
        </w:rPr>
        <w:t></w:t>
      </w:r>
    </w:p>
    <w:p w:rsidR="007479CF" w:rsidRDefault="00CD28B5">
      <w:pPr>
        <w:ind w:left="-15" w:right="-6" w:firstLine="0"/>
      </w:pPr>
      <w:r>
        <w:t xml:space="preserve">functionalism is interested in latent functions (and largely ignores the intention of lawmakers), lawyers focus precisely on manifest or even imagined as opposed to latent functions: The judge must interpret a statute according to the function intended by </w:t>
      </w:r>
      <w:r>
        <w:t>the legislator even if the statute is dysfunctional; the legislator can consider only manifest functions because by de</w:t>
      </w:r>
      <w:r>
        <w:rPr>
          <w:rFonts w:ascii="Calibri" w:eastAsia="Calibri" w:hAnsi="Calibri" w:cs="Calibri"/>
        </w:rPr>
        <w:t>fi</w:t>
      </w:r>
      <w:r>
        <w:t>nition he does not know about latent functions.</w:t>
      </w:r>
      <w:r>
        <w:rPr>
          <w:b/>
          <w:vertAlign w:val="superscript"/>
        </w:rPr>
        <w:footnoteReference w:id="89"/>
      </w:r>
      <w:r>
        <w:t xml:space="preserve"> Sociologists could be said to take an external, and lawyers an internal point of view.</w:t>
      </w:r>
      <w:r>
        <w:rPr>
          <w:b/>
          <w:vertAlign w:val="superscript"/>
        </w:rPr>
        <w:footnoteReference w:id="90"/>
      </w:r>
      <w:r>
        <w:t xml:space="preserve"> Second, the goals of functionalism in sociology and law are di</w:t>
      </w:r>
      <w:r>
        <w:rPr>
          <w:rFonts w:ascii="Calibri" w:eastAsia="Calibri" w:hAnsi="Calibri" w:cs="Calibri"/>
        </w:rPr>
        <w:t>ff</w:t>
      </w:r>
      <w:r>
        <w:t>erent. This is only partly due to the di</w:t>
      </w:r>
      <w:r>
        <w:rPr>
          <w:rFonts w:ascii="Calibri" w:eastAsia="Calibri" w:hAnsi="Calibri" w:cs="Calibri"/>
        </w:rPr>
        <w:t>ff</w:t>
      </w:r>
      <w:r>
        <w:t>erence between normative and descriptive analytical goals—after all, a large part of the judge’s task is descriptive, too.</w:t>
      </w:r>
      <w:r>
        <w:rPr>
          <w:b/>
          <w:vertAlign w:val="superscript"/>
        </w:rPr>
        <w:footnoteReference w:id="91"/>
      </w:r>
      <w:r>
        <w:t xml:space="preserve"> Rather, sociologists u</w:t>
      </w:r>
      <w:r>
        <w:t>se functionalism in order to raise complexity, so their picture of observed societal systems becomes more accurate than a mere listing of its elements. Lawyers, on the other hand, use functionalism to reduce complexity—they hope for functionality to tell t</w:t>
      </w:r>
      <w:r>
        <w:t>hem which of several alternative decisions they should take.</w:t>
      </w:r>
      <w:r>
        <w:rPr>
          <w:b/>
          <w:vertAlign w:val="superscript"/>
        </w:rPr>
        <w:footnoteReference w:id="92"/>
      </w:r>
      <w:r>
        <w:t>The e</w:t>
      </w:r>
      <w:r>
        <w:rPr>
          <w:rFonts w:ascii="Calibri" w:eastAsia="Calibri" w:hAnsi="Calibri" w:cs="Calibri"/>
        </w:rPr>
        <w:t>ff</w:t>
      </w:r>
      <w:r>
        <w:t>ects of judicial decisions are only partly the responsibility of judges;</w:t>
      </w:r>
      <w:r>
        <w:rPr>
          <w:b/>
          <w:vertAlign w:val="superscript"/>
        </w:rPr>
        <w:footnoteReference w:id="93"/>
      </w:r>
      <w:r>
        <w:t xml:space="preserve"> even legislators must take decisions in necessary partial ignorance of e</w:t>
      </w:r>
      <w:r>
        <w:rPr>
          <w:rFonts w:ascii="Calibri" w:eastAsia="Calibri" w:hAnsi="Calibri" w:cs="Calibri"/>
        </w:rPr>
        <w:t>ff</w:t>
      </w:r>
      <w:r>
        <w:t xml:space="preserve">ects. Finally, sociologists and legal </w:t>
      </w:r>
      <w:r>
        <w:t>philosophers often focus on the di</w:t>
      </w:r>
      <w:r>
        <w:rPr>
          <w:rFonts w:ascii="Calibri" w:eastAsia="Calibri" w:hAnsi="Calibri" w:cs="Calibri"/>
        </w:rPr>
        <w:t>ff</w:t>
      </w:r>
      <w:r>
        <w:t>erentiated functions of relatively broadly de</w:t>
      </w:r>
      <w:r>
        <w:rPr>
          <w:rFonts w:ascii="Calibri" w:eastAsia="Calibri" w:hAnsi="Calibri" w:cs="Calibri"/>
        </w:rPr>
        <w:t>fi</w:t>
      </w:r>
      <w:r>
        <w:t>ned institutions, while comparative lawyers take the existence and functionality of law for granted and focus on very speci</w:t>
      </w:r>
      <w:r>
        <w:rPr>
          <w:rFonts w:ascii="Calibri" w:eastAsia="Calibri" w:hAnsi="Calibri" w:cs="Calibri"/>
        </w:rPr>
        <w:t>fi</w:t>
      </w:r>
      <w:r>
        <w:t>c legal issues.</w:t>
      </w:r>
    </w:p>
    <w:p w:rsidR="007479CF" w:rsidRDefault="00CD28B5">
      <w:pPr>
        <w:spacing w:after="318"/>
        <w:ind w:left="-15" w:right="-6"/>
      </w:pPr>
      <w:r>
        <w:t>The clash between sociological a</w:t>
      </w:r>
      <w:r>
        <w:t>nd legal concepts of comparative law is sometimes observable—when Roscoe Pound’s sociological comparative law is criticized from the Durkheimian tradition as unsociological,</w:t>
      </w:r>
      <w:r>
        <w:rPr>
          <w:b/>
          <w:vertAlign w:val="superscript"/>
        </w:rPr>
        <w:footnoteReference w:id="94"/>
      </w:r>
      <w:r>
        <w:t xml:space="preserve"> when a lawyer rejects a questionnaire proposal by a sociologist as too unspeci</w:t>
      </w:r>
      <w:r>
        <w:rPr>
          <w:rFonts w:ascii="Calibri" w:eastAsia="Calibri" w:hAnsi="Calibri" w:cs="Calibri"/>
        </w:rPr>
        <w:t>fi</w:t>
      </w:r>
      <w:r>
        <w:t>c and too oblivious of legal categories,</w:t>
      </w:r>
      <w:r>
        <w:rPr>
          <w:b/>
          <w:vertAlign w:val="superscript"/>
        </w:rPr>
        <w:t>118</w:t>
      </w:r>
      <w:r>
        <w:t xml:space="preserve"> or when Zweigert’s concept of functional comparative law is criticized by lawyers as not su</w:t>
      </w:r>
      <w:r>
        <w:rPr>
          <w:rFonts w:ascii="Calibri" w:eastAsia="Calibri" w:hAnsi="Calibri" w:cs="Calibri"/>
        </w:rPr>
        <w:t>ffi</w:t>
      </w:r>
      <w:r>
        <w:t>ciently legal and by sociologists as not su</w:t>
      </w:r>
      <w:r>
        <w:rPr>
          <w:rFonts w:ascii="Calibri" w:eastAsia="Calibri" w:hAnsi="Calibri" w:cs="Calibri"/>
        </w:rPr>
        <w:t>ffi</w:t>
      </w:r>
      <w:r>
        <w:t>ciently sociological.</w:t>
      </w:r>
      <w:r>
        <w:rPr>
          <w:b/>
          <w:vertAlign w:val="superscript"/>
        </w:rPr>
        <w:footnoteReference w:id="95"/>
      </w:r>
      <w:r>
        <w:t xml:space="preserve"> Whereas sociological functionalism has been crit</w:t>
      </w:r>
      <w:r>
        <w:t>icized as inherently conservative, legal functionalism and social engineering have been rejected as overly progressive and activist. Whereas sociological functionalism is rejected as tautological, legal functionalism is criticized for its open introduction</w:t>
      </w:r>
      <w:r>
        <w:t xml:space="preserve"> of new values into legal arguments. A big interdisciplinary project at the Hamburg </w:t>
      </w:r>
      <w:r>
        <w:rPr>
          <w:rFonts w:ascii="Calibri" w:eastAsia="Calibri" w:hAnsi="Calibri" w:cs="Calibri"/>
        </w:rPr>
        <w:t></w:t>
      </w:r>
    </w:p>
    <w:p w:rsidR="007479CF" w:rsidRDefault="00CD28B5">
      <w:pPr>
        <w:spacing w:after="35"/>
        <w:ind w:left="-15" w:right="-6" w:firstLine="0"/>
      </w:pPr>
      <w:r>
        <w:t>Max Planck Institute involving both sociologists and lawyers largely failed due to these incompabilities; the interaction between sociology and comparative law has focu</w:t>
      </w:r>
      <w:r>
        <w:t>sed more on empirical sociology than on theory.</w:t>
      </w:r>
      <w:r>
        <w:rPr>
          <w:b/>
          <w:vertAlign w:val="superscript"/>
        </w:rPr>
        <w:footnoteReference w:id="96"/>
      </w:r>
    </w:p>
    <w:p w:rsidR="007479CF" w:rsidRDefault="00CD28B5">
      <w:pPr>
        <w:ind w:left="-15" w:right="-6"/>
      </w:pPr>
      <w:r>
        <w:t>One reason for the methodological mishmash in comparative law is that the founders of the functional method were more pragmatically than methodologically interested. In suggesting, almost in passing, that the function of institutions has to stand at the ce</w:t>
      </w:r>
      <w:r>
        <w:t>ntre of the comparative endeavour,</w:t>
      </w:r>
      <w:r>
        <w:rPr>
          <w:b/>
          <w:vertAlign w:val="superscript"/>
        </w:rPr>
        <w:footnoteReference w:id="97"/>
      </w:r>
      <w:r>
        <w:t xml:space="preserve"> Ernst Rabel did not develop an elaborate method from this insight. His approach was deliberately pragmatic rather than theoretical; he was not interested in expansive methodological debate,</w:t>
      </w:r>
      <w:r>
        <w:rPr>
          <w:b/>
          <w:vertAlign w:val="superscript"/>
        </w:rPr>
        <w:footnoteReference w:id="98"/>
      </w:r>
      <w:r>
        <w:t xml:space="preserve"> but in solving practical pr</w:t>
      </w:r>
      <w:r>
        <w:t>oblems. Ascribing a ‘functional method’ to him was rather the work of his student Max Rheinstein, who introduced his thoughts to the United States.</w:t>
      </w:r>
      <w:r>
        <w:rPr>
          <w:b/>
          <w:vertAlign w:val="superscript"/>
        </w:rPr>
        <w:footnoteReference w:id="99"/>
      </w:r>
      <w:r>
        <w:t xml:space="preserve"> Josef Esser came closer to developing an elaborate functional method, but his in</w:t>
      </w:r>
      <w:r>
        <w:rPr>
          <w:rFonts w:ascii="Calibri" w:eastAsia="Calibri" w:hAnsi="Calibri" w:cs="Calibri"/>
        </w:rPr>
        <w:t>fl</w:t>
      </w:r>
      <w:r>
        <w:t xml:space="preserve">uence did not extend to </w:t>
      </w:r>
      <w:r>
        <w:t>the details of the method, and few would have shared his philosophical foundations. Konrad Zweigert,</w:t>
      </w:r>
      <w:r>
        <w:rPr>
          <w:b/>
          <w:vertAlign w:val="superscript"/>
        </w:rPr>
        <w:footnoteReference w:id="100"/>
      </w:r>
      <w:r>
        <w:t xml:space="preserve"> despite the disdain for methodological debates uttered in his textbook, published quite extensively on methodological questions. Yet he was driven primar</w:t>
      </w:r>
      <w:r>
        <w:t>ily by an interest in universalist humanism and in legal uni</w:t>
      </w:r>
      <w:r>
        <w:rPr>
          <w:rFonts w:ascii="Calibri" w:eastAsia="Calibri" w:hAnsi="Calibri" w:cs="Calibri"/>
        </w:rPr>
        <w:t>fi</w:t>
      </w:r>
      <w:r>
        <w:t>cation; the functional method was simply the best tool to reach these goals.</w:t>
      </w:r>
    </w:p>
    <w:p w:rsidR="007479CF" w:rsidRDefault="00CD28B5">
      <w:pPr>
        <w:spacing w:after="338"/>
        <w:ind w:left="-15" w:right="-6"/>
      </w:pPr>
      <w:r>
        <w:t>Methodological eclecticism could be justi</w:t>
      </w:r>
      <w:r>
        <w:rPr>
          <w:rFonts w:ascii="Calibri" w:eastAsia="Calibri" w:hAnsi="Calibri" w:cs="Calibri"/>
        </w:rPr>
        <w:t>fi</w:t>
      </w:r>
      <w:r>
        <w:t>ed as pragmatism. But it has invited criticism, and functionalist comparat</w:t>
      </w:r>
      <w:r>
        <w:t>ists react surprisingly defensively. One defensive strategy is to acknowledge the relevance of culture as an add-on for functionalist comparative law. Yet with no clear view of the relationship between culture and function, this must lead to an eclectic, i</w:t>
      </w:r>
      <w:r>
        <w:t>nternally inconsistent method. Another strategy is to postulate a ‘methodological pluralism’ in which functionalism is only one of several methods, and the comparatist picks (</w:t>
      </w:r>
      <w:r>
        <w:rPr>
          <w:i/>
        </w:rPr>
        <w:t>ad hoc</w:t>
      </w:r>
      <w:r>
        <w:t>?) whichever method seems most appropriate for a given purpose.</w:t>
      </w:r>
      <w:r>
        <w:rPr>
          <w:b/>
          <w:vertAlign w:val="superscript"/>
        </w:rPr>
        <w:footnoteReference w:id="101"/>
      </w:r>
      <w:r>
        <w:t xml:space="preserve"> Neither s</w:t>
      </w:r>
      <w:r>
        <w:t>trategy seems promising unless the strengths and weaknesses of a more clearly functional method are recognized. If the functional method is de</w:t>
      </w:r>
      <w:r>
        <w:rPr>
          <w:rFonts w:ascii="Calibri" w:eastAsia="Calibri" w:hAnsi="Calibri" w:cs="Calibri"/>
        </w:rPr>
        <w:t>fi</w:t>
      </w:r>
      <w:r>
        <w:t xml:space="preserve">cient, it is not clear why a moderated version </w:t>
      </w:r>
      <w:r>
        <w:rPr>
          <w:rFonts w:ascii="Calibri" w:eastAsia="Calibri" w:hAnsi="Calibri" w:cs="Calibri"/>
        </w:rPr>
        <w:t></w:t>
      </w:r>
    </w:p>
    <w:p w:rsidR="007479CF" w:rsidRDefault="00CD28B5">
      <w:pPr>
        <w:spacing w:after="1337"/>
        <w:ind w:left="-15" w:right="-6" w:firstLine="0"/>
      </w:pPr>
      <w:r>
        <w:t>should be maintained; if it is not de</w:t>
      </w:r>
      <w:r>
        <w:rPr>
          <w:rFonts w:ascii="Calibri" w:eastAsia="Calibri" w:hAnsi="Calibri" w:cs="Calibri"/>
        </w:rPr>
        <w:t>fi</w:t>
      </w:r>
      <w:r>
        <w:t>cient, it is unclear why it should be moderated. Yet we cannot evaluate this as long as we lack a coherently formulated functional method, with a consistent concept of function.</w:t>
      </w:r>
    </w:p>
    <w:p w:rsidR="007479CF" w:rsidRDefault="00CD28B5">
      <w:pPr>
        <w:pStyle w:val="Heading1"/>
        <w:ind w:right="8"/>
      </w:pPr>
      <w:r>
        <w:t>III. Functions of Function</w:t>
      </w:r>
    </w:p>
    <w:p w:rsidR="007479CF" w:rsidRDefault="00CD28B5">
      <w:pPr>
        <w:spacing w:after="250" w:line="248" w:lineRule="auto"/>
        <w:ind w:left="-15" w:firstLine="0"/>
      </w:pPr>
      <w:r>
        <w:rPr>
          <w:sz w:val="18"/>
        </w:rPr>
        <w:t>...................................................</w:t>
      </w:r>
      <w:r>
        <w:rPr>
          <w:sz w:val="18"/>
        </w:rPr>
        <w:t>................................................................................................................</w:t>
      </w:r>
    </w:p>
    <w:p w:rsidR="007479CF" w:rsidRDefault="00CD28B5">
      <w:pPr>
        <w:ind w:left="-15" w:right="-6" w:firstLine="0"/>
      </w:pPr>
      <w:r>
        <w:t>One could thus be excused for thinking functionalist comparative law indefensible. The functional method has turned out to be an undertheorized</w:t>
      </w:r>
      <w:r>
        <w:t xml:space="preserve"> approach with an unde</w:t>
      </w:r>
      <w:r>
        <w:rPr>
          <w:rFonts w:ascii="Calibri" w:eastAsia="Calibri" w:hAnsi="Calibri" w:cs="Calibri"/>
        </w:rPr>
        <w:t>fi</w:t>
      </w:r>
      <w:r>
        <w:t>ned disciplinary position, assembling bits and pieces from various di</w:t>
      </w:r>
      <w:r>
        <w:rPr>
          <w:rFonts w:ascii="Calibri" w:eastAsia="Calibri" w:hAnsi="Calibri" w:cs="Calibri"/>
        </w:rPr>
        <w:t>ff</w:t>
      </w:r>
      <w:r>
        <w:t>erent traditions, which, while mutually incompatible, are similar in their decline. But to think so would be hasty. If the substance of a functional method in co</w:t>
      </w:r>
      <w:r>
        <w:t>mparative law is unclear, our analysis should move from a substantive to a functional one and focus on what it does, instead of what it is. In the spirit of Durkheim and Merton, we should measure the method neither by its origins nor by the intentions of i</w:t>
      </w:r>
      <w:r>
        <w:t>ts proponents, but by its functionality. We should look at the functions and dysfunctions of the concept of function, including its latent functions, in the production of comparative law knowledge. We should look at whether it is functional or dysfunctiona</w:t>
      </w:r>
      <w:r>
        <w:t>l, and we should see whether alternative proposals could serve as functional equivalents. This should enable us at the same time to start reconstructing the functional method as a constructive, interpretative,</w:t>
      </w:r>
      <w:r>
        <w:rPr>
          <w:b/>
          <w:vertAlign w:val="superscript"/>
        </w:rPr>
        <w:footnoteReference w:id="102"/>
      </w:r>
      <w:r>
        <w:t xml:space="preserve"> rather than positive enterprise, as a way of</w:t>
      </w:r>
      <w:r>
        <w:t xml:space="preserve"> making sense of legal systems—constructing them as meaningful, instead of merely measuring them. Of course, such a method must use the same concept of functionalism throughout. I propose to use equivalence functionalism, both because it is the most robust</w:t>
      </w:r>
      <w:r>
        <w:t xml:space="preserve"> concept in sociology and because it represents the central element of functionalist comparative law as developed by Rabel and Zweigert: functional equivalence.</w:t>
      </w:r>
    </w:p>
    <w:p w:rsidR="007479CF" w:rsidRDefault="00CD28B5">
      <w:pPr>
        <w:ind w:left="-15" w:right="-6"/>
      </w:pPr>
      <w:r>
        <w:t>This section focuses on seven functions: (</w:t>
      </w:r>
      <w:r>
        <w:rPr>
          <w:rFonts w:ascii="Calibri" w:eastAsia="Calibri" w:hAnsi="Calibri" w:cs="Calibri"/>
        </w:rPr>
        <w:t></w:t>
      </w:r>
      <w:r>
        <w:t>) the epistemological function of understanding lega</w:t>
      </w:r>
      <w:r>
        <w:t>l rules and institutions, (</w:t>
      </w:r>
      <w:r>
        <w:rPr>
          <w:rFonts w:ascii="Calibri" w:eastAsia="Calibri" w:hAnsi="Calibri" w:cs="Calibri"/>
        </w:rPr>
        <w:t></w:t>
      </w:r>
      <w:r>
        <w:t>) the comparative function of achieving comparability, (</w:t>
      </w:r>
      <w:r>
        <w:rPr>
          <w:rFonts w:ascii="Calibri" w:eastAsia="Calibri" w:hAnsi="Calibri" w:cs="Calibri"/>
        </w:rPr>
        <w:t></w:t>
      </w:r>
      <w:r>
        <w:t>) the presumptive function of emphasizing similarity, (</w:t>
      </w:r>
      <w:r>
        <w:rPr>
          <w:rFonts w:ascii="Calibri" w:eastAsia="Calibri" w:hAnsi="Calibri" w:cs="Calibri"/>
        </w:rPr>
        <w:t></w:t>
      </w:r>
      <w:r>
        <w:t>) the formalizing function of system building, (</w:t>
      </w:r>
      <w:r>
        <w:rPr>
          <w:rFonts w:ascii="Calibri" w:eastAsia="Calibri" w:hAnsi="Calibri" w:cs="Calibri"/>
        </w:rPr>
        <w:t></w:t>
      </w:r>
      <w:r>
        <w:t>) the evaluative function of determining the better law, (</w:t>
      </w:r>
      <w:r>
        <w:rPr>
          <w:rFonts w:ascii="Calibri" w:eastAsia="Calibri" w:hAnsi="Calibri" w:cs="Calibri"/>
        </w:rPr>
        <w:t></w:t>
      </w:r>
      <w:r>
        <w:t>) the u</w:t>
      </w:r>
      <w:r>
        <w:t>niversalizing function of preparing legal uni</w:t>
      </w:r>
      <w:r>
        <w:rPr>
          <w:rFonts w:ascii="Calibri" w:eastAsia="Calibri" w:hAnsi="Calibri" w:cs="Calibri"/>
        </w:rPr>
        <w:t>fi</w:t>
      </w:r>
      <w:r>
        <w:t>cation, and (</w:t>
      </w:r>
      <w:r>
        <w:rPr>
          <w:rFonts w:ascii="Calibri" w:eastAsia="Calibri" w:hAnsi="Calibri" w:cs="Calibri"/>
        </w:rPr>
        <w:t></w:t>
      </w:r>
      <w:r>
        <w:t>) the critical function of providing tools for the critique of law.</w:t>
      </w:r>
    </w:p>
    <w:p w:rsidR="007479CF" w:rsidRDefault="00CD28B5">
      <w:pPr>
        <w:spacing w:after="362" w:line="263" w:lineRule="auto"/>
        <w:ind w:left="-5" w:hanging="10"/>
        <w:jc w:val="left"/>
      </w:pPr>
      <w:r>
        <w:rPr>
          <w:rFonts w:ascii="Calibri" w:eastAsia="Calibri" w:hAnsi="Calibri" w:cs="Calibri"/>
        </w:rPr>
        <w:t></w:t>
      </w:r>
    </w:p>
    <w:p w:rsidR="007479CF" w:rsidRDefault="00CD28B5">
      <w:pPr>
        <w:pStyle w:val="Heading2"/>
        <w:ind w:left="-5"/>
      </w:pPr>
      <w:r>
        <w:rPr>
          <w:rFonts w:ascii="Calibri" w:eastAsia="Calibri" w:hAnsi="Calibri" w:cs="Calibri"/>
        </w:rPr>
        <w:t></w:t>
      </w:r>
      <w:r>
        <w:t>. The Epistemological Function: Understanding Law</w:t>
      </w:r>
    </w:p>
    <w:p w:rsidR="007479CF" w:rsidRDefault="00CD28B5">
      <w:pPr>
        <w:ind w:left="-15" w:right="-6" w:firstLine="0"/>
      </w:pPr>
      <w:r>
        <w:t xml:space="preserve">The </w:t>
      </w:r>
      <w:r>
        <w:rPr>
          <w:rFonts w:ascii="Calibri" w:eastAsia="Calibri" w:hAnsi="Calibri" w:cs="Calibri"/>
        </w:rPr>
        <w:t>fi</w:t>
      </w:r>
      <w:r>
        <w:t>rst function of function is epistemological. Functionalism provide</w:t>
      </w:r>
      <w:r>
        <w:t xml:space="preserve">s a tool to make sense of the data we </w:t>
      </w:r>
      <w:r>
        <w:rPr>
          <w:rFonts w:ascii="Calibri" w:eastAsia="Calibri" w:hAnsi="Calibri" w:cs="Calibri"/>
        </w:rPr>
        <w:t>fi</w:t>
      </w:r>
      <w:r>
        <w:t>nd. We understand this function of function if we distinguish functionalist comparative law from an approach that shares some of its methodology and is often referred to as functionalist: the factual method,</w:t>
      </w:r>
      <w:r>
        <w:rPr>
          <w:b/>
          <w:vertAlign w:val="superscript"/>
        </w:rPr>
        <w:footnoteReference w:id="103"/>
      </w:r>
      <w:r>
        <w:t xml:space="preserve"> especi</w:t>
      </w:r>
      <w:r>
        <w:t>ally as applied in common core research.</w:t>
      </w:r>
      <w:r>
        <w:rPr>
          <w:b/>
          <w:vertAlign w:val="superscript"/>
        </w:rPr>
        <w:footnoteReference w:id="104"/>
      </w:r>
      <w:r>
        <w:t xml:space="preserve"> There are two important di</w:t>
      </w:r>
      <w:r>
        <w:rPr>
          <w:rFonts w:ascii="Calibri" w:eastAsia="Calibri" w:hAnsi="Calibri" w:cs="Calibri"/>
        </w:rPr>
        <w:t>ff</w:t>
      </w:r>
      <w:r>
        <w:t>erences that strip the factual method of much of the explanatory power that functionalism claims for itself and that suggest that the factual method and common core research should not be called functionalist.</w:t>
      </w:r>
      <w:r>
        <w:rPr>
          <w:b/>
          <w:vertAlign w:val="superscript"/>
        </w:rPr>
        <w:footnoteReference w:id="105"/>
      </w:r>
      <w:r>
        <w:t xml:space="preserve"> First, the factual method shows us similarit</w:t>
      </w:r>
      <w:r>
        <w:t>ies across legal systems, but it does not tell us whether these are accidental or necessary, or how they relate to society. Second, the factual method, in focusing on cases, is limited in two ways: its problems are only disputes, and its solutions are only</w:t>
      </w:r>
      <w:r>
        <w:t xml:space="preserve"> court decisions. Functionalism promises more. It aims at explaining the e</w:t>
      </w:r>
      <w:r>
        <w:rPr>
          <w:rFonts w:ascii="Calibri" w:eastAsia="Calibri" w:hAnsi="Calibri" w:cs="Calibri"/>
        </w:rPr>
        <w:t>ff</w:t>
      </w:r>
      <w:r>
        <w:t>ects of legal institutions as functions (a speci</w:t>
      </w:r>
      <w:r>
        <w:rPr>
          <w:rFonts w:ascii="Calibri" w:eastAsia="Calibri" w:hAnsi="Calibri" w:cs="Calibri"/>
        </w:rPr>
        <w:t>fi</w:t>
      </w:r>
      <w:r>
        <w:t xml:space="preserve">c kind of relation), and it promises to look at non-legal responses to societal requisites, too. The functional method asks us to </w:t>
      </w:r>
      <w:r>
        <w:t>understand legal institutions not as doctrinal constructs but as societal responses to problems—not as isolated instances but in their relation to the whole legal system, and beyond, to the whole of society.</w:t>
      </w:r>
    </w:p>
    <w:p w:rsidR="007479CF" w:rsidRDefault="00CD28B5">
      <w:pPr>
        <w:ind w:left="-15" w:right="-6"/>
      </w:pPr>
      <w:r>
        <w:t>This suggests why a frequent criticism of functi</w:t>
      </w:r>
      <w:r>
        <w:t>onalism as being too rulecentred</w:t>
      </w:r>
      <w:r>
        <w:rPr>
          <w:b/>
          <w:vertAlign w:val="superscript"/>
        </w:rPr>
        <w:footnoteReference w:id="106"/>
      </w:r>
      <w:r>
        <w:t xml:space="preserve"> may apply to much mainstream comparative law, but not to the functional method. Functionalists explicitly ask that comparatists look not only at legal rules (‘law in books’), nor only at the results of their application (</w:t>
      </w:r>
      <w:r>
        <w:t>‘law in action’), but even beyond at non-legal answers to societal needs.</w:t>
      </w:r>
      <w:r>
        <w:rPr>
          <w:b/>
          <w:vertAlign w:val="superscript"/>
        </w:rPr>
        <w:footnoteReference w:id="107"/>
      </w:r>
      <w:r>
        <w:t xml:space="preserve"> Few comparatists may practise this, but this is a </w:t>
      </w:r>
      <w:r>
        <w:rPr>
          <w:rFonts w:ascii="Calibri" w:eastAsia="Calibri" w:hAnsi="Calibri" w:cs="Calibri"/>
        </w:rPr>
        <w:t>fl</w:t>
      </w:r>
      <w:r>
        <w:t>aw in practice, not in the method. Similarly, the frequent criticism that functionalism is reductive</w:t>
      </w:r>
      <w:r>
        <w:rPr>
          <w:b/>
          <w:vertAlign w:val="superscript"/>
        </w:rPr>
        <w:footnoteReference w:id="108"/>
      </w:r>
      <w:r>
        <w:t xml:space="preserve"> is unwarranted. The great</w:t>
      </w:r>
      <w:r>
        <w:t xml:space="preserve"> advantage of functionalism over substantivism, emphasized </w:t>
      </w:r>
      <w:r>
        <w:rPr>
          <w:rFonts w:ascii="Calibri" w:eastAsia="Calibri" w:hAnsi="Calibri" w:cs="Calibri"/>
        </w:rPr>
        <w:t>fi</w:t>
      </w:r>
      <w:r>
        <w:t>rst by Cassirer, is precisely that it makes generalizations possible without loss of speci</w:t>
      </w:r>
      <w:r>
        <w:rPr>
          <w:rFonts w:ascii="Calibri" w:eastAsia="Calibri" w:hAnsi="Calibri" w:cs="Calibri"/>
        </w:rPr>
        <w:t>fi</w:t>
      </w:r>
      <w:r>
        <w:t>city.</w:t>
      </w:r>
      <w:r>
        <w:rPr>
          <w:b/>
          <w:vertAlign w:val="superscript"/>
        </w:rPr>
        <w:footnoteReference w:id="109"/>
      </w:r>
      <w:r>
        <w:t xml:space="preserve"> Functionalism emphasizes relations in addition to institutions, and it focuses on latent in add</w:t>
      </w:r>
      <w:r>
        <w:t>ition to manifest functions. In this sense, a functionalist view of legal institutions, focusing on the complex interrelatedness of societal elements, creates a picture not less but more complex than that created by the participants in a legal system.</w:t>
      </w:r>
      <w:r>
        <w:rPr>
          <w:b/>
          <w:vertAlign w:val="superscript"/>
        </w:rPr>
        <w:t>134</w:t>
      </w:r>
    </w:p>
    <w:p w:rsidR="007479CF" w:rsidRDefault="00CD28B5">
      <w:pPr>
        <w:spacing w:after="323" w:line="274" w:lineRule="auto"/>
        <w:ind w:left="10" w:right="-5" w:hanging="10"/>
        <w:jc w:val="right"/>
      </w:pPr>
      <w:r>
        <w:rPr>
          <w:rFonts w:ascii="Calibri" w:eastAsia="Calibri" w:hAnsi="Calibri" w:cs="Calibri"/>
        </w:rPr>
        <w:t></w:t>
      </w:r>
      <w:r>
        <w:rPr>
          <w:rFonts w:ascii="Calibri" w:eastAsia="Calibri" w:hAnsi="Calibri" w:cs="Calibri"/>
        </w:rPr>
        <w:t></w:t>
      </w:r>
    </w:p>
    <w:p w:rsidR="007479CF" w:rsidRDefault="00CD28B5">
      <w:pPr>
        <w:ind w:left="-15" w:right="-6"/>
      </w:pPr>
      <w:r>
        <w:t>The same is true for the criticism that functionalism makes no room for culture.</w:t>
      </w:r>
      <w:r>
        <w:rPr>
          <w:b/>
          <w:vertAlign w:val="superscript"/>
        </w:rPr>
        <w:footnoteReference w:id="110"/>
      </w:r>
      <w:r>
        <w:t xml:space="preserve"> Rightly understood, functionalist comparative law assumes that legal rules are culturally embedded, especially once latent functions are accounted for. In fact, functiona</w:t>
      </w:r>
      <w:r>
        <w:t>lists can sound like their critics: ‘Le fait que tout droit est un phénomène culturel et que les règles de droit ne peuvent jamais être considérées indépendamment du contexte historique, social, économique, psychologique et politique est con</w:t>
      </w:r>
      <w:r>
        <w:rPr>
          <w:rFonts w:ascii="Calibri" w:eastAsia="Calibri" w:hAnsi="Calibri" w:cs="Calibri"/>
        </w:rPr>
        <w:t>fi</w:t>
      </w:r>
      <w:r>
        <w:t xml:space="preserve">rmé avec une </w:t>
      </w:r>
      <w:r>
        <w:t>force particulière par les enquêtes de droit comparé’;</w:t>
      </w:r>
      <w:r>
        <w:rPr>
          <w:b/>
          <w:vertAlign w:val="superscript"/>
        </w:rPr>
        <w:footnoteReference w:id="111"/>
      </w:r>
      <w:r>
        <w:t xml:space="preserve"> ‘cette méthode fonctionnelle . . . permet d’atteindre . . . le système dans son homogénéité, dans son esprit, dans ce qu </w:t>
      </w:r>
      <w:r>
        <w:rPr>
          <w:i/>
        </w:rPr>
        <w:t xml:space="preserve"> </w:t>
      </w:r>
      <w:r>
        <w:t>on a justement appelé sa “mentalité” . . .’.</w:t>
      </w:r>
      <w:r>
        <w:rPr>
          <w:b/>
          <w:vertAlign w:val="superscript"/>
        </w:rPr>
        <w:t xml:space="preserve">137 </w:t>
      </w:r>
      <w:r>
        <w:t>What distinguishes functionalists from culturalists is not the degree of attention to culture, but the kind of attention. What critics call acultural is the functionalists’ resistance to adopting an insider’s view, their unwillingness to limit themselves t</w:t>
      </w:r>
      <w:r>
        <w:t>o culture as such, and of course their reconstruction of culture as functional (or dysfunctional) relations. This can of course account for only one aspect of culture. But once the futile hope to grasp any holistic ‘essence’ of culture is given up, a funct</w:t>
      </w:r>
      <w:r>
        <w:t>ionalist outsider’s account need not be inferior to a culturalist insider’s account; it just highlights a di</w:t>
      </w:r>
      <w:r>
        <w:rPr>
          <w:rFonts w:ascii="Calibri" w:eastAsia="Calibri" w:hAnsi="Calibri" w:cs="Calibri"/>
        </w:rPr>
        <w:t>ff</w:t>
      </w:r>
      <w:r>
        <w:t>erent perspective. To do so, functionalism must assume that ‘law’ can somehow be separated from ‘society’ because otherwise law could not ful</w:t>
      </w:r>
      <w:r>
        <w:rPr>
          <w:rFonts w:ascii="Calibri" w:eastAsia="Calibri" w:hAnsi="Calibri" w:cs="Calibri"/>
        </w:rPr>
        <w:t>fi</w:t>
      </w:r>
      <w:r>
        <w:t>l a</w:t>
      </w:r>
      <w:r>
        <w:t xml:space="preserve"> function for society. This assumption of separability has been criticized,</w:t>
      </w:r>
      <w:r>
        <w:rPr>
          <w:b/>
          <w:vertAlign w:val="superscript"/>
        </w:rPr>
        <w:footnoteReference w:id="112"/>
      </w:r>
      <w:r>
        <w:t xml:space="preserve"> but it can be defended at least as a heuristic device. The separation is more in tune with both the use of the term ‘law’ and the functional di</w:t>
      </w:r>
      <w:r>
        <w:rPr>
          <w:rFonts w:ascii="Calibri" w:eastAsia="Calibri" w:hAnsi="Calibri" w:cs="Calibri"/>
        </w:rPr>
        <w:t>ff</w:t>
      </w:r>
      <w:r>
        <w:t xml:space="preserve">erentiation of modern societies; </w:t>
      </w:r>
      <w:r>
        <w:t>it carries more analytical force than collapsing all law into society and culture would.</w:t>
      </w:r>
    </w:p>
    <w:p w:rsidR="007479CF" w:rsidRDefault="00CD28B5">
      <w:pPr>
        <w:spacing w:after="301"/>
        <w:ind w:left="-15" w:right="-6"/>
      </w:pPr>
      <w:r>
        <w:t>Obviously, functionalism is not the only available epistemological scheme for understanding a legal system.</w:t>
      </w:r>
      <w:r>
        <w:rPr>
          <w:b/>
          <w:vertAlign w:val="superscript"/>
        </w:rPr>
        <w:footnoteReference w:id="113"/>
      </w:r>
      <w:r>
        <w:t xml:space="preserve"> Functionalists take an observer’s perspective as an alter</w:t>
      </w:r>
      <w:r>
        <w:t>native to, not a substitute for, the participant’s perspective inherent in cultural approaches, and emphasize the view of law in a speci</w:t>
      </w:r>
      <w:r>
        <w:rPr>
          <w:rFonts w:ascii="Calibri" w:eastAsia="Calibri" w:hAnsi="Calibri" w:cs="Calibri"/>
        </w:rPr>
        <w:t>fi</w:t>
      </w:r>
      <w:r>
        <w:t>c (namely functional) relation, while ignoring other relations. Functionalism can thus not claim to capture some essen</w:t>
      </w:r>
      <w:r>
        <w:t>ce or ‘ultimate truth’ of legal institutions;</w:t>
      </w:r>
      <w:r>
        <w:rPr>
          <w:b/>
          <w:vertAlign w:val="superscript"/>
        </w:rPr>
        <w:t>140</w:t>
      </w:r>
      <w:r>
        <w:t xml:space="preserve"> but such a claim would run counter to its own programme, anyway. Functionalism in sociology as in philosophy is the fruit of a move away from metaphysical concepts like ‘substance’ and ‘essence’; function is</w:t>
      </w:r>
      <w:r>
        <w:t xml:space="preserve"> not an ontological category. Such a functionalist comparative law, driven by a particular interest of the comparatist, cannot be fully objective and </w:t>
      </w:r>
      <w:r>
        <w:rPr>
          <w:rFonts w:ascii="Calibri" w:eastAsia="Calibri" w:hAnsi="Calibri" w:cs="Calibri"/>
        </w:rPr>
        <w:t></w:t>
      </w:r>
    </w:p>
    <w:p w:rsidR="007479CF" w:rsidRDefault="00CD28B5">
      <w:pPr>
        <w:ind w:left="-15" w:right="-6" w:firstLine="0"/>
      </w:pPr>
      <w:r>
        <w:t>neutral in the way traditional sciences aim at objectivity and neutrality,</w:t>
      </w:r>
      <w:r>
        <w:rPr>
          <w:b/>
          <w:vertAlign w:val="superscript"/>
        </w:rPr>
        <w:footnoteReference w:id="114"/>
      </w:r>
      <w:r>
        <w:t xml:space="preserve"> but this is not a shortco</w:t>
      </w:r>
      <w:r>
        <w:t>ming.</w:t>
      </w:r>
    </w:p>
    <w:p w:rsidR="007479CF" w:rsidRDefault="00CD28B5">
      <w:pPr>
        <w:ind w:left="-15" w:right="-6"/>
      </w:pPr>
      <w:r>
        <w:t xml:space="preserve">If functions are relations between institutions and problems, then the </w:t>
      </w:r>
      <w:r>
        <w:rPr>
          <w:rFonts w:ascii="Calibri" w:eastAsia="Calibri" w:hAnsi="Calibri" w:cs="Calibri"/>
        </w:rPr>
        <w:t>fi</w:t>
      </w:r>
      <w:r>
        <w:t xml:space="preserve">rst task is to </w:t>
      </w:r>
      <w:r>
        <w:rPr>
          <w:rFonts w:ascii="Calibri" w:eastAsia="Calibri" w:hAnsi="Calibri" w:cs="Calibri"/>
        </w:rPr>
        <w:t>fi</w:t>
      </w:r>
      <w:r>
        <w:t>nd the problem to be solved by legal institutions. And this is itself a problem.</w:t>
      </w:r>
      <w:r>
        <w:rPr>
          <w:b/>
          <w:vertAlign w:val="superscript"/>
        </w:rPr>
        <w:footnoteReference w:id="115"/>
      </w:r>
      <w:r>
        <w:t>For evolutionists, a problem is a situation in society that spurs legal and ul</w:t>
      </w:r>
      <w:r>
        <w:t>timately social change; the solution is only a temporary step forward that will lead to new problems. For neo-Kantians, a problem is a legal problem (‘Rechtsproblem’) and thus a problem de</w:t>
      </w:r>
      <w:r>
        <w:rPr>
          <w:rFonts w:ascii="Calibri" w:eastAsia="Calibri" w:hAnsi="Calibri" w:cs="Calibri"/>
        </w:rPr>
        <w:t>fi</w:t>
      </w:r>
      <w:r>
        <w:t>ned by the law and not by social reality, an aprioristic philosoph</w:t>
      </w:r>
      <w:r>
        <w:t>ical concept.</w:t>
      </w:r>
      <w:r>
        <w:rPr>
          <w:b/>
          <w:vertAlign w:val="superscript"/>
        </w:rPr>
        <w:footnoteReference w:id="116"/>
      </w:r>
      <w:r>
        <w:t xml:space="preserve"> A solution cannot be found in an analogy to the sciences because it requires a value judgment.</w:t>
      </w:r>
      <w:r>
        <w:rPr>
          <w:b/>
          <w:vertAlign w:val="superscript"/>
        </w:rPr>
        <w:footnoteReference w:id="117"/>
      </w:r>
      <w:r>
        <w:t xml:space="preserve"> For functionalists, </w:t>
      </w:r>
      <w:r>
        <w:rPr>
          <w:rFonts w:ascii="Calibri" w:eastAsia="Calibri" w:hAnsi="Calibri" w:cs="Calibri"/>
        </w:rPr>
        <w:t>fi</w:t>
      </w:r>
      <w:r>
        <w:t>nally, a problem is only one side of a bipolar functional relation, the other side taken by the institution that meets th</w:t>
      </w:r>
      <w:r>
        <w:t>e need, so society can stay in equilibrium: problems and institutions mutually constitute each other.</w:t>
      </w:r>
    </w:p>
    <w:p w:rsidR="007479CF" w:rsidRDefault="00CD28B5">
      <w:pPr>
        <w:ind w:left="-15" w:right="-6"/>
      </w:pPr>
      <w:r>
        <w:t>There are real issues with functionalism as a social science or as philosophy, but less so for constructivist functionalism in comparative law. Explaining</w:t>
      </w:r>
      <w:r>
        <w:t xml:space="preserve"> legal institutions functionally drives hypotheses that consider the problems and the structure of a society not as realities (either empirical or philosophical), but rather make proposals about how societies can and should be understood, not just how they</w:t>
      </w:r>
      <w:r>
        <w:t xml:space="preserve"> work. That a problem exists and that an institution is a response to it need not be proven; but the connection between events and institutions must be made plausible as a way of understanding. We may well say that problems are constructed</w:t>
      </w:r>
      <w:r>
        <w:rPr>
          <w:b/>
          <w:vertAlign w:val="superscript"/>
        </w:rPr>
        <w:footnoteReference w:id="118"/>
      </w:r>
      <w:r>
        <w:t xml:space="preserve"> and still main</w:t>
      </w:r>
      <w:r>
        <w:t>tain explanatory power; we may analyse from a particular non-universal viewpoint and o</w:t>
      </w:r>
      <w:r>
        <w:rPr>
          <w:rFonts w:ascii="Calibri" w:eastAsia="Calibri" w:hAnsi="Calibri" w:cs="Calibri"/>
        </w:rPr>
        <w:t>ff</w:t>
      </w:r>
      <w:r>
        <w:t>er this analysis as one of several possible interpretations. Functionalism thereby turns from a scienti</w:t>
      </w:r>
      <w:r>
        <w:rPr>
          <w:rFonts w:ascii="Calibri" w:eastAsia="Calibri" w:hAnsi="Calibri" w:cs="Calibri"/>
        </w:rPr>
        <w:t>fi</w:t>
      </w:r>
      <w:r>
        <w:t>c to a constructive approach to law, a way of ‘making sense’ th</w:t>
      </w:r>
      <w:r>
        <w:t>at is distinct from the participants’ way of making sense of their legal systems. This would be problematic for a positive science. It is not so for an argumentative and normative, purpose-oriented discipline like comparative law.</w:t>
      </w:r>
    </w:p>
    <w:p w:rsidR="007479CF" w:rsidRDefault="00CD28B5">
      <w:pPr>
        <w:spacing w:after="372" w:line="274" w:lineRule="auto"/>
        <w:ind w:left="10" w:right="-5" w:hanging="10"/>
        <w:jc w:val="right"/>
      </w:pPr>
      <w:r>
        <w:rPr>
          <w:rFonts w:ascii="Calibri" w:eastAsia="Calibri" w:hAnsi="Calibri" w:cs="Calibri"/>
        </w:rPr>
        <w:t></w:t>
      </w:r>
    </w:p>
    <w:p w:rsidR="007479CF" w:rsidRDefault="00CD28B5">
      <w:pPr>
        <w:pStyle w:val="Heading2"/>
        <w:ind w:left="-5"/>
      </w:pPr>
      <w:r>
        <w:rPr>
          <w:rFonts w:ascii="Calibri" w:eastAsia="Calibri" w:hAnsi="Calibri" w:cs="Calibri"/>
        </w:rPr>
        <w:t></w:t>
      </w:r>
      <w:r>
        <w:t xml:space="preserve">. The Comparative Function: </w:t>
      </w:r>
      <w:r>
        <w:rPr>
          <w:i/>
        </w:rPr>
        <w:t>Tertium Comparationis</w:t>
      </w:r>
    </w:p>
    <w:p w:rsidR="007479CF" w:rsidRDefault="00CD28B5">
      <w:pPr>
        <w:ind w:left="-15" w:right="-6" w:firstLine="0"/>
      </w:pPr>
      <w:r>
        <w:t xml:space="preserve">Of course, this interpretative reconstruction of functionalism immediately raises the question why one functional explanation should be more plausible than another. How can functions be tested empirically? </w:t>
      </w:r>
      <w:r>
        <w:t xml:space="preserve">How can we prove values? Comparison can help here, and this leads to the second function of function—that of </w:t>
      </w:r>
      <w:r>
        <w:rPr>
          <w:i/>
        </w:rPr>
        <w:t>tertium comparationis</w:t>
      </w:r>
      <w:r>
        <w:t>.</w:t>
      </w:r>
    </w:p>
    <w:p w:rsidR="007479CF" w:rsidRDefault="00CD28B5">
      <w:pPr>
        <w:spacing w:after="425"/>
        <w:ind w:left="-15" w:right="-6"/>
      </w:pPr>
      <w:r>
        <w:t>Comparison traditionally requires an invariant element. In theory, a functional method could set either problems or institut</w:t>
      </w:r>
      <w:r>
        <w:t>ions as invariant;</w:t>
      </w:r>
      <w:r>
        <w:rPr>
          <w:b/>
          <w:vertAlign w:val="superscript"/>
        </w:rPr>
        <w:t>146</w:t>
      </w:r>
      <w:r>
        <w:t xml:space="preserve"> in reality, as long as institutions are non-universal, only problems can play the role of a constant. Functionalists often claim that comparative law can serve as the closest substitute for an experiment to test a hypothesis on functi</w:t>
      </w:r>
      <w:r>
        <w:t>onal relations.</w:t>
      </w:r>
      <w:r>
        <w:rPr>
          <w:b/>
          <w:vertAlign w:val="superscript"/>
        </w:rPr>
        <w:t>147</w:t>
      </w:r>
      <w:r>
        <w:t xml:space="preserve"> Yet this still begs the question whether needs and problems are universal.</w:t>
      </w:r>
      <w:r>
        <w:rPr>
          <w:b/>
          <w:vertAlign w:val="superscript"/>
        </w:rPr>
        <w:t>148</w:t>
      </w:r>
      <w:r>
        <w:t xml:space="preserve"> It is not even clear what universality of problems means: Philosophers like Max Salomon understand these problems as philosophically universal problems of gene</w:t>
      </w:r>
      <w:r>
        <w:t xml:space="preserve">ral jurisprudence, while the sociological strand understands them as empirically universal problems of societies. As a consequence, it is not clear whether function as </w:t>
      </w:r>
      <w:r>
        <w:rPr>
          <w:i/>
        </w:rPr>
        <w:t xml:space="preserve">tertium comparationis </w:t>
      </w:r>
      <w:r>
        <w:t>refers to (manifest) value judgments by legislatures or to (latent</w:t>
      </w:r>
      <w:r>
        <w:t>) sociological needs or, as Rabel said somewhat opaquely, to both.</w:t>
      </w:r>
      <w:r>
        <w:rPr>
          <w:b/>
          <w:vertAlign w:val="superscript"/>
        </w:rPr>
        <w:footnoteReference w:id="119"/>
      </w:r>
      <w:r>
        <w:t xml:space="preserve"> In addition, sociologists and anthropologists who de</w:t>
      </w:r>
      <w:r>
        <w:rPr>
          <w:rFonts w:ascii="Calibri" w:eastAsia="Calibri" w:hAnsi="Calibri" w:cs="Calibri"/>
        </w:rPr>
        <w:t>fi</w:t>
      </w:r>
      <w:r>
        <w:t>ne substantive problems often fall into one of two traps.</w:t>
      </w:r>
      <w:r>
        <w:rPr>
          <w:b/>
          <w:vertAlign w:val="superscript"/>
        </w:rPr>
        <w:footnoteReference w:id="120"/>
      </w:r>
      <w:r>
        <w:t>Either their lists of societal needs</w:t>
      </w:r>
      <w:r>
        <w:rPr>
          <w:b/>
          <w:vertAlign w:val="superscript"/>
        </w:rPr>
        <w:footnoteReference w:id="121"/>
      </w:r>
      <w:r>
        <w:t xml:space="preserve"> are too abstract for meaningful com</w:t>
      </w:r>
      <w:r>
        <w:t>parative law—the stability of society is relevant on a di</w:t>
      </w:r>
      <w:r>
        <w:rPr>
          <w:rFonts w:ascii="Calibri" w:eastAsia="Calibri" w:hAnsi="Calibri" w:cs="Calibri"/>
        </w:rPr>
        <w:t>ff</w:t>
      </w:r>
      <w:r>
        <w:t>erent level than the enforcement of</w:t>
      </w:r>
    </w:p>
    <w:p w:rsidR="007479CF" w:rsidRDefault="00CD28B5">
      <w:pPr>
        <w:numPr>
          <w:ilvl w:val="0"/>
          <w:numId w:val="5"/>
        </w:numPr>
        <w:spacing w:after="6" w:line="245" w:lineRule="auto"/>
        <w:ind w:firstLine="165"/>
      </w:pPr>
      <w:r>
        <w:rPr>
          <w:sz w:val="18"/>
        </w:rPr>
        <w:t xml:space="preserve">Luhmann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Scheiwe, </w:t>
      </w:r>
      <w:r>
        <w:rPr>
          <w:rFonts w:ascii="Calibri" w:eastAsia="Calibri" w:hAnsi="Calibri" w:cs="Calibri"/>
          <w:sz w:val="18"/>
        </w:rPr>
        <w:t></w:t>
      </w:r>
      <w:r>
        <w:rPr>
          <w:sz w:val="18"/>
        </w:rPr>
        <w:t xml:space="preserve"> </w:t>
      </w:r>
      <w:r>
        <w:rPr>
          <w:i/>
          <w:sz w:val="18"/>
        </w:rPr>
        <w:t>Kritische Vierteljahresschrift für Gesetzgebung und Rechtswissenschaft</w:t>
      </w:r>
      <w:r>
        <w:rPr>
          <w:sz w:val="18"/>
        </w:rPr>
        <w:t xml:space="preserve"> </w:t>
      </w:r>
      <w:r>
        <w:rPr>
          <w:rFonts w:ascii="Calibri" w:eastAsia="Calibri" w:hAnsi="Calibri" w:cs="Calibri"/>
          <w:sz w:val="18"/>
        </w:rPr>
        <w:t></w:t>
      </w:r>
      <w:r>
        <w:rPr>
          <w:sz w:val="18"/>
        </w:rPr>
        <w:t xml:space="preserve"> n </w:t>
      </w:r>
      <w:r>
        <w:rPr>
          <w:rFonts w:ascii="Calibri" w:eastAsia="Calibri" w:hAnsi="Calibri" w:cs="Calibri"/>
          <w:sz w:val="18"/>
        </w:rPr>
        <w:t></w:t>
      </w:r>
      <w:r>
        <w:rPr>
          <w:sz w:val="18"/>
        </w:rPr>
        <w:t>.</w:t>
      </w:r>
    </w:p>
    <w:p w:rsidR="007479CF" w:rsidRDefault="00CD28B5">
      <w:pPr>
        <w:numPr>
          <w:ilvl w:val="0"/>
          <w:numId w:val="5"/>
        </w:numPr>
        <w:spacing w:after="4" w:line="248" w:lineRule="auto"/>
        <w:ind w:firstLine="165"/>
      </w:pPr>
      <w:r>
        <w:rPr>
          <w:sz w:val="18"/>
        </w:rPr>
        <w:t xml:space="preserve">Lepaulle, </w:t>
      </w:r>
      <w:r>
        <w:rPr>
          <w:rFonts w:ascii="Calibri" w:eastAsia="Calibri" w:hAnsi="Calibri" w:cs="Calibri"/>
          <w:sz w:val="18"/>
        </w:rPr>
        <w:t></w:t>
      </w:r>
      <w:r>
        <w:rPr>
          <w:sz w:val="18"/>
        </w:rPr>
        <w:t xml:space="preserve"> </w:t>
      </w:r>
      <w:r>
        <w:rPr>
          <w:i/>
          <w:sz w:val="18"/>
        </w:rPr>
        <w:t>Harvard LR</w:t>
      </w:r>
      <w:r>
        <w:rPr>
          <w:sz w:val="18"/>
        </w:rPr>
        <w:t xml:space="preserve"> </w:t>
      </w:r>
      <w:r>
        <w:rPr>
          <w:rFonts w:ascii="Calibri" w:eastAsia="Calibri" w:hAnsi="Calibri" w:cs="Calibri"/>
          <w:sz w:val="18"/>
        </w:rPr>
        <w:t xml:space="preserve"> </w:t>
      </w:r>
      <w:r>
        <w:rPr>
          <w:sz w:val="18"/>
        </w:rPr>
        <w:t xml:space="preserve">f; reprinted in Zweigert and Puttfarken (n </w:t>
      </w:r>
      <w:r>
        <w:rPr>
          <w:rFonts w:ascii="Calibri" w:eastAsia="Calibri" w:hAnsi="Calibri" w:cs="Calibri"/>
          <w:sz w:val="18"/>
        </w:rPr>
        <w:t></w:t>
      </w:r>
      <w:r>
        <w:rPr>
          <w:sz w:val="18"/>
        </w:rPr>
        <w:t xml:space="preserve">), </w:t>
      </w:r>
      <w:r>
        <w:rPr>
          <w:rFonts w:ascii="Calibri" w:eastAsia="Calibri" w:hAnsi="Calibri" w:cs="Calibri"/>
          <w:sz w:val="18"/>
        </w:rPr>
        <w:t xml:space="preserve"> </w:t>
      </w:r>
      <w:r>
        <w:rPr>
          <w:sz w:val="18"/>
        </w:rPr>
        <w:t xml:space="preserve">f (‘recoupement’); Roscoe Pound, ‘Some Thoughts about Comparative Law’, in </w:t>
      </w:r>
      <w:r>
        <w:rPr>
          <w:i/>
          <w:sz w:val="18"/>
        </w:rPr>
        <w:t>Festschrift für Ernst Ra</w:t>
      </w:r>
      <w:r>
        <w:rPr>
          <w:i/>
          <w:sz w:val="18"/>
        </w:rPr>
        <w:t>bel</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 xml:space="preserve"> </w:t>
      </w:r>
      <w:r>
        <w:rPr>
          <w:sz w:val="18"/>
        </w:rPr>
        <w:t xml:space="preserve">f; similarly Merton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p>
    <w:p w:rsidR="007479CF" w:rsidRDefault="00CD28B5">
      <w:pPr>
        <w:numPr>
          <w:ilvl w:val="0"/>
          <w:numId w:val="5"/>
        </w:numPr>
        <w:spacing w:after="4" w:line="248" w:lineRule="auto"/>
        <w:ind w:firstLine="165"/>
      </w:pPr>
      <w:r>
        <w:rPr>
          <w:sz w:val="18"/>
        </w:rPr>
        <w:t xml:space="preserve">Watson (n </w:t>
      </w:r>
      <w:r>
        <w:rPr>
          <w:rFonts w:ascii="Calibri" w:eastAsia="Calibri" w:hAnsi="Calibri" w:cs="Calibri"/>
          <w:sz w:val="18"/>
        </w:rPr>
        <w:t></w:t>
      </w:r>
      <w:r>
        <w:rPr>
          <w:sz w:val="18"/>
        </w:rPr>
        <w:t xml:space="preserve">), </w:t>
      </w:r>
      <w:r>
        <w:rPr>
          <w:rFonts w:ascii="Calibri" w:eastAsia="Calibri" w:hAnsi="Calibri" w:cs="Calibri"/>
          <w:sz w:val="18"/>
        </w:rPr>
        <w:t xml:space="preserve"> </w:t>
      </w:r>
      <w:r>
        <w:rPr>
          <w:sz w:val="18"/>
        </w:rPr>
        <w:t xml:space="preserve">f; Jerome Hall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xml:space="preserve">; Constantinesco </w:t>
      </w:r>
      <w:r>
        <w:rPr>
          <w:rFonts w:ascii="Calibri" w:eastAsia="Calibri" w:hAnsi="Calibri" w:cs="Calibri"/>
          <w:sz w:val="18"/>
        </w:rPr>
        <w:t></w:t>
      </w:r>
      <w:r>
        <w:rPr>
          <w:sz w:val="18"/>
        </w:rPr>
        <w:t xml:space="preserve"> </w:t>
      </w:r>
      <w:r>
        <w:rPr>
          <w:rFonts w:ascii="Calibri" w:eastAsia="Calibri" w:hAnsi="Calibri" w:cs="Calibri"/>
          <w:sz w:val="18"/>
        </w:rPr>
        <w:t>ff</w:t>
      </w:r>
      <w:r>
        <w:rPr>
          <w:sz w:val="18"/>
        </w:rPr>
        <w:t>; Wolfgang Mincke, ‘Eine vergleichende Rechtswissenschaft’,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i/>
          <w:sz w:val="18"/>
        </w:rPr>
        <w:t>Zeitschrift für vergleichende Rechtswissenschaft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Richard </w:t>
      </w:r>
      <w:r>
        <w:rPr>
          <w:sz w:val="18"/>
        </w:rPr>
        <w:t xml:space="preserve">Hyland, ‘Comparative Law’, in Dennis Patterson (ed), </w:t>
      </w:r>
      <w:r>
        <w:rPr>
          <w:i/>
          <w:sz w:val="18"/>
        </w:rPr>
        <w:t>A Companion to Philosophy of Law and Legal Theory</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de Cruz (n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r>
        <w:rPr>
          <w:rFonts w:ascii="Calibri" w:eastAsia="Calibri" w:hAnsi="Calibri" w:cs="Calibri"/>
          <w:sz w:val="18"/>
        </w:rPr>
        <w:t></w:t>
      </w:r>
      <w:r>
        <w:rPr>
          <w:sz w:val="18"/>
        </w:rPr>
        <w:t xml:space="preserve">; James Q. Whitman, ‘The Neo-Romantic turn’, in Legrand and Munday (n </w:t>
      </w:r>
      <w:r>
        <w:rPr>
          <w:rFonts w:ascii="Calibri" w:eastAsia="Calibri" w:hAnsi="Calibri" w:cs="Calibri"/>
          <w:sz w:val="18"/>
        </w:rPr>
        <w:t></w:t>
      </w:r>
      <w:r>
        <w:rPr>
          <w:sz w:val="18"/>
        </w:rPr>
        <w:t xml:space="preserve">), </w:t>
      </w:r>
      <w:r>
        <w:rPr>
          <w:rFonts w:ascii="Calibri" w:eastAsia="Calibri" w:hAnsi="Calibri" w:cs="Calibri"/>
          <w:sz w:val="18"/>
        </w:rPr>
        <w:t></w:t>
      </w:r>
      <w:r>
        <w:rPr>
          <w:sz w:val="18"/>
        </w:rPr>
        <w:t xml:space="preserve">, </w:t>
      </w:r>
      <w:r>
        <w:rPr>
          <w:rFonts w:ascii="Calibri" w:eastAsia="Calibri" w:hAnsi="Calibri" w:cs="Calibri"/>
          <w:sz w:val="18"/>
        </w:rPr>
        <w:t></w:t>
      </w:r>
      <w:r>
        <w:rPr>
          <w:sz w:val="18"/>
        </w:rPr>
        <w:t>.</w:t>
      </w:r>
    </w:p>
    <w:p w:rsidR="007479CF" w:rsidRDefault="00CD28B5">
      <w:pPr>
        <w:pStyle w:val="Heading3"/>
        <w:ind w:left="-5"/>
      </w:pPr>
      <w:r>
        <w:t></w:t>
      </w:r>
    </w:p>
    <w:p w:rsidR="007479CF" w:rsidRDefault="00CD28B5">
      <w:pPr>
        <w:spacing w:after="36"/>
        <w:ind w:left="-15" w:right="-6" w:firstLine="0"/>
      </w:pPr>
      <w:r>
        <w:t>consumer rights. Or proble</w:t>
      </w:r>
      <w:r>
        <w:t>ms are contingent on speci</w:t>
      </w:r>
      <w:r>
        <w:rPr>
          <w:rFonts w:ascii="Calibri" w:eastAsia="Calibri" w:hAnsi="Calibri" w:cs="Calibri"/>
        </w:rPr>
        <w:t>fi</w:t>
      </w:r>
      <w:r>
        <w:t>c societal structures and thus no longer universal</w:t>
      </w:r>
      <w:r>
        <w:rPr>
          <w:b/>
          <w:vertAlign w:val="superscript"/>
        </w:rPr>
        <w:footnoteReference w:id="122"/>
      </w:r>
      <w:r>
        <w:t>—</w:t>
      </w:r>
      <w:r>
        <w:t>the problem of protecting shareholder rights will not exist in societies without capital markets. For example, we may think that societies require deterrence of wrongdoing and that tort law is there to ful</w:t>
      </w:r>
      <w:r>
        <w:rPr>
          <w:rFonts w:ascii="Calibri" w:eastAsia="Calibri" w:hAnsi="Calibri" w:cs="Calibri"/>
        </w:rPr>
        <w:t>fi</w:t>
      </w:r>
      <w:r>
        <w:t xml:space="preserve">l this need. But how do we know that this is the </w:t>
      </w:r>
      <w:r>
        <w:t>problem that tort law solves? Why is its function not compensation, instead, or the e</w:t>
      </w:r>
      <w:r>
        <w:rPr>
          <w:rFonts w:ascii="Calibri" w:eastAsia="Calibri" w:hAnsi="Calibri" w:cs="Calibri"/>
        </w:rPr>
        <w:t>ff</w:t>
      </w:r>
      <w:r>
        <w:t>ectuation of certain societal values? Or is tort law perhaps even dysfunctional?</w:t>
      </w:r>
      <w:r>
        <w:rPr>
          <w:b/>
          <w:vertAlign w:val="superscript"/>
        </w:rPr>
        <w:footnoteReference w:id="123"/>
      </w:r>
    </w:p>
    <w:p w:rsidR="007479CF" w:rsidRDefault="00CD28B5">
      <w:pPr>
        <w:ind w:left="-15" w:right="-6"/>
      </w:pPr>
      <w:r>
        <w:t>Some comparatists try to avoid these challenges by restricting the analysis to societi</w:t>
      </w:r>
      <w:r>
        <w:t>es at similar stages of development and in certain relatively value-neutral areas of the law.</w:t>
      </w:r>
      <w:r>
        <w:rPr>
          <w:b/>
          <w:vertAlign w:val="superscript"/>
        </w:rPr>
        <w:footnoteReference w:id="124"/>
      </w:r>
      <w:r>
        <w:t xml:space="preserve"> Yet not only have such more complex comparisons been made frequently.</w:t>
      </w:r>
      <w:r>
        <w:rPr>
          <w:b/>
          <w:vertAlign w:val="superscript"/>
        </w:rPr>
        <w:footnoteReference w:id="125"/>
      </w:r>
      <w:r>
        <w:t xml:space="preserve"> Also, the restriction to societies at the same stage of development smacks of the now-discarded functional adaptionism; and the restriction to valueneutral areas of the law assumes the similarity of problems precisely by designating areas of the law as va</w:t>
      </w:r>
      <w:r>
        <w:t>lue-free and therefore non-contingent.</w:t>
      </w:r>
    </w:p>
    <w:p w:rsidR="007479CF" w:rsidRDefault="00CD28B5">
      <w:pPr>
        <w:ind w:left="-15" w:right="-6"/>
      </w:pPr>
      <w:r>
        <w:t>It seems more fruitful to di</w:t>
      </w:r>
      <w:r>
        <w:rPr>
          <w:rFonts w:ascii="Calibri" w:eastAsia="Calibri" w:hAnsi="Calibri" w:cs="Calibri"/>
        </w:rPr>
        <w:t>ff</w:t>
      </w:r>
      <w:r>
        <w:t>erentiate between levels of analysis. We can assume relatively safely that certain abstract problems—for example, the need to survive— are universal, at least in the sense that all societ</w:t>
      </w:r>
      <w:r>
        <w:t>ies face them qua being societies.</w:t>
      </w:r>
      <w:r>
        <w:rPr>
          <w:b/>
          <w:vertAlign w:val="superscript"/>
        </w:rPr>
        <w:footnoteReference w:id="126"/>
      </w:r>
      <w:r>
        <w:t>Such general problems cannot simply be broken down into the speci</w:t>
      </w:r>
      <w:r>
        <w:rPr>
          <w:rFonts w:ascii="Calibri" w:eastAsia="Calibri" w:hAnsi="Calibri" w:cs="Calibri"/>
        </w:rPr>
        <w:t>fi</w:t>
      </w:r>
      <w:r>
        <w:t xml:space="preserve">c problems that interest comparative lawyers by mere deduction, just as discussions about the function of law in general do not yield answers addressing </w:t>
      </w:r>
      <w:r>
        <w:t>the functions of speci</w:t>
      </w:r>
      <w:r>
        <w:rPr>
          <w:rFonts w:ascii="Calibri" w:eastAsia="Calibri" w:hAnsi="Calibri" w:cs="Calibri"/>
        </w:rPr>
        <w:t>fi</w:t>
      </w:r>
      <w:r>
        <w:t>c legal institutions. Many problems are contingent on the solutions to other problems.</w:t>
      </w:r>
      <w:r>
        <w:rPr>
          <w:b/>
          <w:vertAlign w:val="superscript"/>
        </w:rPr>
        <w:t>157</w:t>
      </w:r>
      <w:r>
        <w:t xml:space="preserve"> But they enable the comparatist who does not </w:t>
      </w:r>
      <w:r>
        <w:rPr>
          <w:rFonts w:ascii="Calibri" w:eastAsia="Calibri" w:hAnsi="Calibri" w:cs="Calibri"/>
        </w:rPr>
        <w:t>fi</w:t>
      </w:r>
      <w:r>
        <w:t>nd universality of a certain problem at a high degree of speci</w:t>
      </w:r>
      <w:r>
        <w:rPr>
          <w:rFonts w:ascii="Calibri" w:eastAsia="Calibri" w:hAnsi="Calibri" w:cs="Calibri"/>
        </w:rPr>
        <w:t>fi</w:t>
      </w:r>
      <w:r>
        <w:t>city to step down one level bec</w:t>
      </w:r>
      <w:r>
        <w:t>ause derived needs arise, if in a contingent way, from original needs. The more speci</w:t>
      </w:r>
      <w:r>
        <w:rPr>
          <w:rFonts w:ascii="Calibri" w:eastAsia="Calibri" w:hAnsi="Calibri" w:cs="Calibri"/>
        </w:rPr>
        <w:t>fi</w:t>
      </w:r>
      <w:r>
        <w:t xml:space="preserve">c a problem is, the less likely its universality, but a focus on the more general level enables us to see not only the contingency of certain problems but also what the </w:t>
      </w:r>
      <w:r>
        <w:t>analogous problems in other legal systems are. This leads to a much more complex, but also a richer, functional analysis.</w:t>
      </w:r>
    </w:p>
    <w:p w:rsidR="007479CF" w:rsidRDefault="00CD28B5">
      <w:pPr>
        <w:spacing w:after="339"/>
        <w:ind w:left="-15" w:right="-6"/>
      </w:pPr>
      <w:r>
        <w:t>Furthermore, functionalist epistemology makes it unnecessary to assume universal problems. Once the formulation of a problem is unders</w:t>
      </w:r>
      <w:r>
        <w:t xml:space="preserve">tood as a constructive move rather than an empirical one, the universality of problems is likewise a constructive move rather than a mere representation of reality. Comparability is </w:t>
      </w:r>
      <w:r>
        <w:rPr>
          <w:rFonts w:ascii="Calibri" w:eastAsia="Calibri" w:hAnsi="Calibri" w:cs="Calibri"/>
        </w:rPr>
        <w:t></w:t>
      </w:r>
    </w:p>
    <w:p w:rsidR="007479CF" w:rsidRDefault="00CD28B5">
      <w:pPr>
        <w:spacing w:after="742"/>
        <w:ind w:left="-15" w:right="-6" w:firstLine="0"/>
      </w:pPr>
      <w:r>
        <w:t xml:space="preserve">attained through the construction of universal problems as </w:t>
      </w:r>
      <w:r>
        <w:rPr>
          <w:i/>
        </w:rPr>
        <w:t>tertia comp</w:t>
      </w:r>
      <w:r>
        <w:rPr>
          <w:i/>
        </w:rPr>
        <w:t>arationis</w:t>
      </w:r>
      <w:r>
        <w:t>. This is where the notion of functional equivalent has its bite. Even if legal institutions are understood as responses to societal needs, they are not caused by these needs in the sense of logical necessity. Rather. They are contingent responses</w:t>
      </w:r>
      <w:r>
        <w:t xml:space="preserve"> to these needs that can be identi</w:t>
      </w:r>
      <w:r>
        <w:rPr>
          <w:rFonts w:ascii="Calibri" w:eastAsia="Calibri" w:hAnsi="Calibri" w:cs="Calibri"/>
        </w:rPr>
        <w:t>fi</w:t>
      </w:r>
      <w:r>
        <w:t>ed with reference to the other possible responses, the functional equivalents, that were not chosen.</w:t>
      </w:r>
      <w:r>
        <w:rPr>
          <w:b/>
          <w:vertAlign w:val="superscript"/>
        </w:rPr>
        <w:footnoteReference w:id="127"/>
      </w:r>
      <w:r>
        <w:t xml:space="preserve"> These functional equivalents may not be known until they appear in other legal systems, but their appearance enables </w:t>
      </w:r>
      <w:r>
        <w:t>the comparatist to construct the underlying problem and thereby to recognize the functions of a legal institution. The similarity of results to certain fact situations, regardless of di</w:t>
      </w:r>
      <w:r>
        <w:rPr>
          <w:rFonts w:ascii="Calibri" w:eastAsia="Calibri" w:hAnsi="Calibri" w:cs="Calibri"/>
        </w:rPr>
        <w:t>ff</w:t>
      </w:r>
      <w:r>
        <w:t>erences in doctrine, strongly suggests that the respective legal inst</w:t>
      </w:r>
      <w:r>
        <w:t>itutions can be seen as di</w:t>
      </w:r>
      <w:r>
        <w:rPr>
          <w:rFonts w:ascii="Calibri" w:eastAsia="Calibri" w:hAnsi="Calibri" w:cs="Calibri"/>
        </w:rPr>
        <w:t>ff</w:t>
      </w:r>
      <w:r>
        <w:t>erent (but functionally equivalent) responses to a similar problem. This reasoning is of course circular—it goes from problems to functions and from functions to problems. But this circularity resembles the way in which mathemat</w:t>
      </w:r>
      <w:r>
        <w:t>icians recognize functions, and it appears justi</w:t>
      </w:r>
      <w:r>
        <w:rPr>
          <w:rFonts w:ascii="Calibri" w:eastAsia="Calibri" w:hAnsi="Calibri" w:cs="Calibri"/>
        </w:rPr>
        <w:t>fi</w:t>
      </w:r>
      <w:r>
        <w:t>ed for constructivist comparative law as interpretation because it mirrors the hermeneutic circle between the comparatist and the legal systems observed that is characteristic of comparative law.</w:t>
      </w:r>
      <w:r>
        <w:rPr>
          <w:b/>
          <w:vertAlign w:val="superscript"/>
        </w:rPr>
        <w:t>159</w:t>
      </w:r>
    </w:p>
    <w:p w:rsidR="007479CF" w:rsidRDefault="00CD28B5">
      <w:pPr>
        <w:pStyle w:val="Heading2"/>
        <w:ind w:left="-5"/>
      </w:pPr>
      <w:r>
        <w:rPr>
          <w:rFonts w:ascii="Calibri" w:eastAsia="Calibri" w:hAnsi="Calibri" w:cs="Calibri"/>
        </w:rPr>
        <w:t></w:t>
      </w:r>
      <w:r>
        <w:t xml:space="preserve">. The </w:t>
      </w:r>
      <w:r>
        <w:t xml:space="preserve">Presumptive Function: </w:t>
      </w:r>
      <w:r>
        <w:rPr>
          <w:i/>
        </w:rPr>
        <w:t>Praesumptio Similitudinis</w:t>
      </w:r>
    </w:p>
    <w:p w:rsidR="007479CF" w:rsidRDefault="00CD28B5">
      <w:pPr>
        <w:ind w:left="-15" w:right="-6" w:firstLine="0"/>
      </w:pPr>
      <w:r>
        <w:t>The universality of problems leads to the question of di</w:t>
      </w:r>
      <w:r>
        <w:rPr>
          <w:rFonts w:ascii="Calibri" w:eastAsia="Calibri" w:hAnsi="Calibri" w:cs="Calibri"/>
        </w:rPr>
        <w:t>ff</w:t>
      </w:r>
      <w:r>
        <w:t xml:space="preserve">erence and similarity. Zweigert suggested the (in)famous </w:t>
      </w:r>
      <w:r>
        <w:rPr>
          <w:i/>
        </w:rPr>
        <w:t>praesumptio similitudinis</w:t>
      </w:r>
      <w:r>
        <w:t>, a presumption of similarity: The comparatist should assume that di</w:t>
      </w:r>
      <w:r>
        <w:rPr>
          <w:rFonts w:ascii="Calibri" w:eastAsia="Calibri" w:hAnsi="Calibri" w:cs="Calibri"/>
        </w:rPr>
        <w:t>ff</w:t>
      </w:r>
      <w:r>
        <w:t xml:space="preserve">erent societies face similar needs and that, to survive, any one society must have (functionally equivalent) institutions that meet these needs. As a consequence, if the comparatist </w:t>
      </w:r>
      <w:r>
        <w:rPr>
          <w:rFonts w:ascii="Calibri" w:eastAsia="Calibri" w:hAnsi="Calibri" w:cs="Calibri"/>
        </w:rPr>
        <w:t>fi</w:t>
      </w:r>
      <w:r>
        <w:t>nds no functional equivalent in a foreign legal order, he should ‘chec</w:t>
      </w:r>
      <w:r>
        <w:t>k again whether the terms in which he posed his original question were indeed purely functional, and whether he has spread the net of his researches quite wide enough’.</w:t>
      </w:r>
      <w:r>
        <w:rPr>
          <w:b/>
          <w:vertAlign w:val="superscript"/>
        </w:rPr>
        <w:footnoteReference w:id="128"/>
      </w:r>
    </w:p>
    <w:p w:rsidR="007479CF" w:rsidRDefault="00CD28B5">
      <w:pPr>
        <w:spacing w:after="297"/>
        <w:ind w:left="-15" w:right="-6"/>
      </w:pPr>
      <w:r>
        <w:t xml:space="preserve">Perhaps no statement in the history of comparative law has been criticized more than </w:t>
      </w:r>
      <w:r>
        <w:t>this short passage. Three types of  this criticism deserve attention here. First, the postulate violates requirements of scienti</w:t>
      </w:r>
      <w:r>
        <w:rPr>
          <w:rFonts w:ascii="Calibri" w:eastAsia="Calibri" w:hAnsi="Calibri" w:cs="Calibri"/>
        </w:rPr>
        <w:t>fi</w:t>
      </w:r>
      <w:r>
        <w:t>c method: Following Popper’s critical rationalism, the comparatist should try not to prove but to falsify hypotheses.</w:t>
      </w:r>
      <w:r>
        <w:rPr>
          <w:b/>
          <w:vertAlign w:val="superscript"/>
        </w:rPr>
        <w:footnoteReference w:id="129"/>
      </w:r>
      <w:r>
        <w:t xml:space="preserve"> Second</w:t>
      </w:r>
      <w:r>
        <w:t>, the postulate violates requirements of ideological neutrality, or requirements of the correct ideology: The comparatist should not favour similarity over di</w:t>
      </w:r>
      <w:r>
        <w:rPr>
          <w:rFonts w:ascii="Calibri" w:eastAsia="Calibri" w:hAnsi="Calibri" w:cs="Calibri"/>
        </w:rPr>
        <w:t>ff</w:t>
      </w:r>
      <w:r>
        <w:t>erence, but should either be objective and neutral as between similarity and di</w:t>
      </w:r>
      <w:r>
        <w:rPr>
          <w:rFonts w:ascii="Calibri" w:eastAsia="Calibri" w:hAnsi="Calibri" w:cs="Calibri"/>
        </w:rPr>
        <w:t>ff</w:t>
      </w:r>
      <w:r>
        <w:t>erence or shoul</w:t>
      </w:r>
      <w:r>
        <w:t>d even openly advocate di</w:t>
      </w:r>
      <w:r>
        <w:rPr>
          <w:rFonts w:ascii="Calibri" w:eastAsia="Calibri" w:hAnsi="Calibri" w:cs="Calibri"/>
        </w:rPr>
        <w:t>ff</w:t>
      </w:r>
      <w:r>
        <w:t xml:space="preserve">erence over </w:t>
      </w:r>
      <w:r>
        <w:rPr>
          <w:rFonts w:ascii="Calibri" w:eastAsia="Calibri" w:hAnsi="Calibri" w:cs="Calibri"/>
        </w:rPr>
        <w:t></w:t>
      </w:r>
    </w:p>
    <w:p w:rsidR="007479CF" w:rsidRDefault="00CD28B5">
      <w:pPr>
        <w:ind w:left="-15" w:right="-6" w:firstLine="0"/>
      </w:pPr>
      <w:r>
        <w:t>similarity.</w:t>
      </w:r>
      <w:r>
        <w:rPr>
          <w:b/>
          <w:vertAlign w:val="superscript"/>
        </w:rPr>
        <w:footnoteReference w:id="130"/>
      </w:r>
      <w:r>
        <w:t xml:space="preserve"> Third, the postulate is reductionist: Similarity will only appear once legal orders or institutions are stripped of culturally relevant and contingent details.</w:t>
      </w:r>
      <w:r>
        <w:rPr>
          <w:b/>
          <w:vertAlign w:val="superscript"/>
        </w:rPr>
        <w:footnoteReference w:id="131"/>
      </w:r>
      <w:r>
        <w:t xml:space="preserve"> Some defendants of functionalism yield to the critique; they are ready to give the presumptio</w:t>
      </w:r>
      <w:r>
        <w:t>n up.</w:t>
      </w:r>
      <w:r>
        <w:rPr>
          <w:b/>
          <w:vertAlign w:val="superscript"/>
        </w:rPr>
        <w:footnoteReference w:id="132"/>
      </w:r>
      <w:r>
        <w:t xml:space="preserve"> But things are not that easy.</w:t>
      </w:r>
    </w:p>
    <w:p w:rsidR="007479CF" w:rsidRDefault="00CD28B5">
      <w:pPr>
        <w:spacing w:after="37"/>
        <w:ind w:left="-15" w:right="-6"/>
      </w:pPr>
      <w:r>
        <w:t>First, the presumption of similarity must be placed in its historical context. It was formulated after a war had been fought on the allegation of insurmountable di</w:t>
      </w:r>
      <w:r>
        <w:rPr>
          <w:rFonts w:ascii="Calibri" w:eastAsia="Calibri" w:hAnsi="Calibri" w:cs="Calibri"/>
        </w:rPr>
        <w:t>ff</w:t>
      </w:r>
      <w:r>
        <w:t>erences; this is one reason why comparatists tried to</w:t>
      </w:r>
      <w:r>
        <w:t xml:space="preserve"> counter the presumption of di</w:t>
      </w:r>
      <w:r>
        <w:rPr>
          <w:rFonts w:ascii="Calibri" w:eastAsia="Calibri" w:hAnsi="Calibri" w:cs="Calibri"/>
        </w:rPr>
        <w:t>ff</w:t>
      </w:r>
      <w:r>
        <w:t>erence prevailing among ordinary lawyers of that time.</w:t>
      </w:r>
      <w:r>
        <w:rPr>
          <w:b/>
          <w:vertAlign w:val="superscript"/>
        </w:rPr>
        <w:footnoteReference w:id="133"/>
      </w:r>
      <w:r>
        <w:t xml:space="preserve"> In this sense, the presumption of similarity was as critical of the state of a</w:t>
      </w:r>
      <w:r>
        <w:rPr>
          <w:rFonts w:ascii="Calibri" w:eastAsia="Calibri" w:hAnsi="Calibri" w:cs="Calibri"/>
        </w:rPr>
        <w:t>ff</w:t>
      </w:r>
      <w:r>
        <w:t>airs of its time as is the current emphasis on di</w:t>
      </w:r>
      <w:r>
        <w:rPr>
          <w:rFonts w:ascii="Calibri" w:eastAsia="Calibri" w:hAnsi="Calibri" w:cs="Calibri"/>
        </w:rPr>
        <w:t>ff</w:t>
      </w:r>
      <w:r>
        <w:t>erence, which may likewise be just a</w:t>
      </w:r>
      <w:r>
        <w:t xml:space="preserve"> rhetorical strategy.</w:t>
      </w:r>
      <w:r>
        <w:rPr>
          <w:b/>
          <w:vertAlign w:val="superscript"/>
        </w:rPr>
        <w:t>166</w:t>
      </w:r>
      <w:r>
        <w:t xml:space="preserve"> Calls for ‘falsi</w:t>
      </w:r>
      <w:r>
        <w:rPr>
          <w:rFonts w:ascii="Calibri" w:eastAsia="Calibri" w:hAnsi="Calibri" w:cs="Calibri"/>
        </w:rPr>
        <w:t>fi</w:t>
      </w:r>
      <w:r>
        <w:t xml:space="preserve">cation’ of the presumption are, then, as misplaced as calls for a switch to a </w:t>
      </w:r>
      <w:r>
        <w:rPr>
          <w:i/>
        </w:rPr>
        <w:t>praesumptio dissimilitudinis</w:t>
      </w:r>
      <w:r>
        <w:t xml:space="preserve"> because they only shift the relation between rule and exception.</w:t>
      </w:r>
      <w:r>
        <w:rPr>
          <w:b/>
          <w:vertAlign w:val="superscript"/>
        </w:rPr>
        <w:footnoteReference w:id="134"/>
      </w:r>
    </w:p>
    <w:p w:rsidR="007479CF" w:rsidRDefault="00CD28B5">
      <w:pPr>
        <w:ind w:left="-15" w:right="-6"/>
      </w:pPr>
      <w:r>
        <w:t>More to the point, the presumption is c</w:t>
      </w:r>
      <w:r>
        <w:t>losely linked to the methodological assumptions. If only functionally equivalent institutions are comparable, then by de</w:t>
      </w:r>
      <w:r>
        <w:rPr>
          <w:rFonts w:ascii="Calibri" w:eastAsia="Calibri" w:hAnsi="Calibri" w:cs="Calibri"/>
        </w:rPr>
        <w:t>fi</w:t>
      </w:r>
      <w:r>
        <w:t>nition these institutions must be similar in the sense that they respond to the same problem. To this extent, the presumption is not j</w:t>
      </w:r>
      <w:r>
        <w:t>ust Zweigert’s naïve idea, but a necessary element of functionalist comparative law. Here the caveat that only societies at similar stages and institutions in value-neutral areas of the law can be compared becomes important. Of course, this caveat turns th</w:t>
      </w:r>
      <w:r>
        <w:t>e assumption into a tautology: problems are universal in so far as we exclude all problems that are not universal.</w:t>
      </w:r>
      <w:r>
        <w:rPr>
          <w:b/>
          <w:vertAlign w:val="superscript"/>
        </w:rPr>
        <w:footnoteReference w:id="135"/>
      </w:r>
      <w:r>
        <w:t xml:space="preserve"> But this tautology is not fatal once we understand functionalism as a constructive method: it describes the thought process between the general and the speci</w:t>
      </w:r>
      <w:r>
        <w:rPr>
          <w:rFonts w:ascii="Calibri" w:eastAsia="Calibri" w:hAnsi="Calibri" w:cs="Calibri"/>
        </w:rPr>
        <w:t>fi</w:t>
      </w:r>
      <w:r>
        <w:t>c, between presumed problems and institutions as presumed responses, that creates legal knowledg</w:t>
      </w:r>
      <w:r>
        <w:t xml:space="preserve">e. The claim of universality of a problem is a </w:t>
      </w:r>
      <w:r>
        <w:rPr>
          <w:rFonts w:ascii="Calibri" w:eastAsia="Calibri" w:hAnsi="Calibri" w:cs="Calibri"/>
        </w:rPr>
        <w:t>fi</w:t>
      </w:r>
      <w:r>
        <w:t>rst interpretative step that can be challenged, but this is a fruitful way of making sense of one legal system in relation to another.</w:t>
      </w:r>
    </w:p>
    <w:p w:rsidR="007479CF" w:rsidRDefault="00CD28B5">
      <w:pPr>
        <w:spacing w:after="337" w:line="259" w:lineRule="auto"/>
        <w:ind w:right="7" w:firstLine="0"/>
        <w:jc w:val="right"/>
      </w:pPr>
      <w:r>
        <w:t xml:space="preserve">If therefore the presumption of similarity is central to the functional </w:t>
      </w:r>
      <w:r>
        <w:t xml:space="preserve">method, it </w:t>
      </w:r>
      <w:r>
        <w:rPr>
          <w:rFonts w:ascii="Calibri" w:eastAsia="Calibri" w:hAnsi="Calibri" w:cs="Calibri"/>
        </w:rPr>
        <w:t></w:t>
      </w:r>
    </w:p>
    <w:p w:rsidR="007479CF" w:rsidRDefault="00CD28B5">
      <w:pPr>
        <w:spacing w:after="37"/>
        <w:ind w:left="-15" w:right="-6" w:firstLine="0"/>
      </w:pPr>
      <w:r>
        <w:t>becomes vital to understand clearly what the presumption does and does not say. What is presumed to be similar are neither the legal institutions, nor the problems to be solved by them and the need for societies to respond to them, but the f</w:t>
      </w:r>
      <w:r>
        <w:t xml:space="preserve">unctional relation between problems and solutions: if a society has a certain problem </w:t>
      </w:r>
      <w:r>
        <w:rPr>
          <w:i/>
        </w:rPr>
        <w:t>a</w:t>
      </w:r>
      <w:r>
        <w:t xml:space="preserve">, it must have a legal institution </w:t>
      </w:r>
      <w:r>
        <w:rPr>
          <w:i/>
        </w:rPr>
        <w:t>y</w:t>
      </w:r>
      <w:r>
        <w:t>, and di</w:t>
      </w:r>
      <w:r>
        <w:rPr>
          <w:rFonts w:ascii="Calibri" w:eastAsia="Calibri" w:hAnsi="Calibri" w:cs="Calibri"/>
        </w:rPr>
        <w:t>ff</w:t>
      </w:r>
      <w:r>
        <w:t xml:space="preserve">erent solutions to </w:t>
      </w:r>
      <w:r>
        <w:rPr>
          <w:i/>
        </w:rPr>
        <w:t>a</w:t>
      </w:r>
      <w:r>
        <w:t xml:space="preserve"> are functionally equivalent. This does not mean that di</w:t>
      </w:r>
      <w:r>
        <w:rPr>
          <w:rFonts w:ascii="Calibri" w:eastAsia="Calibri" w:hAnsi="Calibri" w:cs="Calibri"/>
        </w:rPr>
        <w:t>ff</w:t>
      </w:r>
      <w:r>
        <w:t>erent solutions to similar problems, the core</w:t>
      </w:r>
      <w:r>
        <w:t xml:space="preserve"> element of the functional method, are really ‘similar’; Zweigert’s own formulation of ‘similarity’ is misleading. Tort law and insurance law are not similar just because they ful</w:t>
      </w:r>
      <w:r>
        <w:rPr>
          <w:rFonts w:ascii="Calibri" w:eastAsia="Calibri" w:hAnsi="Calibri" w:cs="Calibri"/>
        </w:rPr>
        <w:t>fi</w:t>
      </w:r>
      <w:r>
        <w:t>l the same function of providing accident victims with compensation for the</w:t>
      </w:r>
      <w:r>
        <w:t>ir accidents. They are obviously di</w:t>
      </w:r>
      <w:r>
        <w:rPr>
          <w:rFonts w:ascii="Calibri" w:eastAsia="Calibri" w:hAnsi="Calibri" w:cs="Calibri"/>
        </w:rPr>
        <w:t>ff</w:t>
      </w:r>
      <w:r>
        <w:t>erent—not only in their doctrinal structures but also (a point often neglected by comparatists) in their e</w:t>
      </w:r>
      <w:r>
        <w:rPr>
          <w:rFonts w:ascii="Calibri" w:eastAsia="Calibri" w:hAnsi="Calibri" w:cs="Calibri"/>
        </w:rPr>
        <w:t>ff</w:t>
      </w:r>
      <w:r>
        <w:t>ects and functions (or dysfunctions) regarding problems other than that of compensation, such as deterrence, th</w:t>
      </w:r>
      <w:r>
        <w:t>e creation of certain kinds of jobs (judges or insurers), litigiousness, or a welfare mentality. They are similar regarding only one element—namely, the solution of one speci</w:t>
      </w:r>
      <w:r>
        <w:rPr>
          <w:rFonts w:ascii="Calibri" w:eastAsia="Calibri" w:hAnsi="Calibri" w:cs="Calibri"/>
        </w:rPr>
        <w:t>fi</w:t>
      </w:r>
      <w:r>
        <w:t>c problem. This is not similarity. This is functional equivalence.</w:t>
      </w:r>
      <w:r>
        <w:rPr>
          <w:b/>
          <w:vertAlign w:val="superscript"/>
        </w:rPr>
        <w:footnoteReference w:id="136"/>
      </w:r>
    </w:p>
    <w:p w:rsidR="007479CF" w:rsidRDefault="00CD28B5">
      <w:pPr>
        <w:ind w:left="-15" w:right="-6"/>
      </w:pPr>
      <w:r>
        <w:t>Some critic</w:t>
      </w:r>
      <w:r>
        <w:t xml:space="preserve">s consider the </w:t>
      </w:r>
      <w:r>
        <w:rPr>
          <w:i/>
        </w:rPr>
        <w:t>praesumptio similitudinis</w:t>
      </w:r>
      <w:r>
        <w:t xml:space="preserve"> to be internally inconsistent, because comparatists claim that di</w:t>
      </w:r>
      <w:r>
        <w:rPr>
          <w:rFonts w:ascii="Calibri" w:eastAsia="Calibri" w:hAnsi="Calibri" w:cs="Calibri"/>
        </w:rPr>
        <w:t>ff</w:t>
      </w:r>
      <w:r>
        <w:t xml:space="preserve">erent legal systems </w:t>
      </w:r>
      <w:r>
        <w:rPr>
          <w:rFonts w:ascii="Calibri" w:eastAsia="Calibri" w:hAnsi="Calibri" w:cs="Calibri"/>
        </w:rPr>
        <w:t>fi</w:t>
      </w:r>
      <w:r>
        <w:t>nd similar results although at the same time they advocate di</w:t>
      </w:r>
      <w:r>
        <w:rPr>
          <w:rFonts w:ascii="Calibri" w:eastAsia="Calibri" w:hAnsi="Calibri" w:cs="Calibri"/>
        </w:rPr>
        <w:t>ff</w:t>
      </w:r>
      <w:r>
        <w:t>erences between the legal institutions they compare.</w:t>
      </w:r>
      <w:r>
        <w:rPr>
          <w:b/>
          <w:vertAlign w:val="superscript"/>
        </w:rPr>
        <w:footnoteReference w:id="137"/>
      </w:r>
      <w:r>
        <w:t xml:space="preserve"> They are</w:t>
      </w:r>
      <w:r>
        <w:t xml:space="preserve"> partly right. Comparatists do indeed look at di</w:t>
      </w:r>
      <w:r>
        <w:rPr>
          <w:rFonts w:ascii="Calibri" w:eastAsia="Calibri" w:hAnsi="Calibri" w:cs="Calibri"/>
        </w:rPr>
        <w:t>ff</w:t>
      </w:r>
      <w:r>
        <w:t>erence and similarity at the same time, but that is not inconsistency. Rather, functional equivalence is similarity in di</w:t>
      </w:r>
      <w:r>
        <w:rPr>
          <w:rFonts w:ascii="Calibri" w:eastAsia="Calibri" w:hAnsi="Calibri" w:cs="Calibri"/>
        </w:rPr>
        <w:t>ff</w:t>
      </w:r>
      <w:r>
        <w:t xml:space="preserve">erence; it is </w:t>
      </w:r>
      <w:r>
        <w:rPr>
          <w:rFonts w:ascii="Calibri" w:eastAsia="Calibri" w:hAnsi="Calibri" w:cs="Calibri"/>
        </w:rPr>
        <w:t>fi</w:t>
      </w:r>
      <w:r>
        <w:t>nding that institutions are similar in one regard (namely in one of</w:t>
      </w:r>
      <w:r>
        <w:t xml:space="preserve"> the functions they ful</w:t>
      </w:r>
      <w:r>
        <w:rPr>
          <w:rFonts w:ascii="Calibri" w:eastAsia="Calibri" w:hAnsi="Calibri" w:cs="Calibri"/>
        </w:rPr>
        <w:t>fi</w:t>
      </w:r>
      <w:r>
        <w:t>l) while they are (or at least may be) di</w:t>
      </w:r>
      <w:r>
        <w:rPr>
          <w:rFonts w:ascii="Calibri" w:eastAsia="Calibri" w:hAnsi="Calibri" w:cs="Calibri"/>
        </w:rPr>
        <w:t>ff</w:t>
      </w:r>
      <w:r>
        <w:t>erent in all other regards—</w:t>
      </w:r>
      <w:r>
        <w:t>not only in their doctrinal formulations, but also in the other functions or dysfunctions they may have besides the one on which the comparatist focuses. The decision to look at a certain problem, and thus at a certain function, therefore becomes crucial f</w:t>
      </w:r>
      <w:r>
        <w:t xml:space="preserve">or </w:t>
      </w:r>
      <w:r>
        <w:rPr>
          <w:rFonts w:ascii="Calibri" w:eastAsia="Calibri" w:hAnsi="Calibri" w:cs="Calibri"/>
        </w:rPr>
        <w:t>fi</w:t>
      </w:r>
      <w:r>
        <w:t xml:space="preserve">nding similarity. But this is always similarity regarding only that one function. The </w:t>
      </w:r>
      <w:r>
        <w:rPr>
          <w:rFonts w:ascii="Calibri" w:eastAsia="Calibri" w:hAnsi="Calibri" w:cs="Calibri"/>
        </w:rPr>
        <w:t>fi</w:t>
      </w:r>
      <w:r>
        <w:t>nding of similarity is contingent on the comparatist’s focus.</w:t>
      </w:r>
    </w:p>
    <w:p w:rsidR="007479CF" w:rsidRDefault="00CD28B5">
      <w:pPr>
        <w:spacing w:after="315"/>
        <w:ind w:left="-15" w:right="-6"/>
      </w:pPr>
      <w:r>
        <w:t xml:space="preserve">It follows that this degree of similarity cannot explain a whole institution. First, by choosing one </w:t>
      </w:r>
      <w:r>
        <w:t xml:space="preserve">institution </w:t>
      </w:r>
      <w:r>
        <w:rPr>
          <w:i/>
        </w:rPr>
        <w:t>β</w:t>
      </w:r>
      <w:r>
        <w:rPr>
          <w:sz w:val="20"/>
          <w:vertAlign w:val="subscript"/>
        </w:rPr>
        <w:t>1</w:t>
      </w:r>
      <w:r>
        <w:t xml:space="preserve"> a society decides against other possible functionally equivalent institutions </w:t>
      </w:r>
      <w:r>
        <w:rPr>
          <w:i/>
        </w:rPr>
        <w:t>β</w:t>
      </w:r>
      <w:r>
        <w:rPr>
          <w:sz w:val="20"/>
          <w:vertAlign w:val="subscript"/>
        </w:rPr>
        <w:t>2</w:t>
      </w:r>
      <w:r>
        <w:t xml:space="preserve"> and </w:t>
      </w:r>
      <w:r>
        <w:rPr>
          <w:i/>
        </w:rPr>
        <w:t>β</w:t>
      </w:r>
      <w:r>
        <w:rPr>
          <w:sz w:val="20"/>
          <w:vertAlign w:val="subscript"/>
        </w:rPr>
        <w:t>3</w:t>
      </w:r>
      <w:r>
        <w:t>. The choice of tort law for compensation purposes is, at least in part, a choice against insurance law for the same purposes. It would therefore be wrong</w:t>
      </w:r>
      <w:r>
        <w:t xml:space="preserve"> to say that ‘really’ tort law and insurance are the same, because this would strip the decision for one and against the other institution of its relevance. Second, when the comparatist uses one function as his </w:t>
      </w:r>
      <w:r>
        <w:rPr>
          <w:i/>
        </w:rPr>
        <w:t>tertium comparationis</w:t>
      </w:r>
      <w:r>
        <w:t>, he deliberately leaves</w:t>
      </w:r>
      <w:r>
        <w:t xml:space="preserve"> other functions out of his view for which </w:t>
      </w:r>
      <w:r>
        <w:rPr>
          <w:rFonts w:ascii="Calibri" w:eastAsia="Calibri" w:hAnsi="Calibri" w:cs="Calibri"/>
        </w:rPr>
        <w:t></w:t>
      </w:r>
    </w:p>
    <w:p w:rsidR="007479CF" w:rsidRDefault="00CD28B5">
      <w:pPr>
        <w:spacing w:after="734"/>
        <w:ind w:left="-15" w:right="-6" w:firstLine="0"/>
      </w:pPr>
      <w:r>
        <w:t>institutions may well be di</w:t>
      </w:r>
      <w:r>
        <w:rPr>
          <w:rFonts w:ascii="Calibri" w:eastAsia="Calibri" w:hAnsi="Calibri" w:cs="Calibri"/>
        </w:rPr>
        <w:t>ff</w:t>
      </w:r>
      <w:r>
        <w:t>erent.</w:t>
      </w:r>
      <w:r>
        <w:rPr>
          <w:b/>
          <w:vertAlign w:val="superscript"/>
        </w:rPr>
        <w:t>171</w:t>
      </w:r>
      <w:r>
        <w:t xml:space="preserve"> In so far as functional equivalence means similarity regarding one function, the presumption is tautological:</w:t>
      </w:r>
      <w:r>
        <w:rPr>
          <w:b/>
          <w:vertAlign w:val="superscript"/>
        </w:rPr>
        <w:footnoteReference w:id="138"/>
      </w:r>
      <w:r>
        <w:t xml:space="preserve"> because only institutions ful</w:t>
      </w:r>
      <w:r>
        <w:rPr>
          <w:rFonts w:ascii="Calibri" w:eastAsia="Calibri" w:hAnsi="Calibri" w:cs="Calibri"/>
        </w:rPr>
        <w:t>fi</w:t>
      </w:r>
      <w:r>
        <w:t>lling the same function are</w:t>
      </w:r>
      <w:r>
        <w:t xml:space="preserve"> comparable, by de</w:t>
      </w:r>
      <w:r>
        <w:rPr>
          <w:rFonts w:ascii="Calibri" w:eastAsia="Calibri" w:hAnsi="Calibri" w:cs="Calibri"/>
        </w:rPr>
        <w:t>fi</w:t>
      </w:r>
      <w:r>
        <w:t>nition they must be similar regarding their quality of ful</w:t>
      </w:r>
      <w:r>
        <w:rPr>
          <w:rFonts w:ascii="Calibri" w:eastAsia="Calibri" w:hAnsi="Calibri" w:cs="Calibri"/>
        </w:rPr>
        <w:t>fi</w:t>
      </w:r>
      <w:r>
        <w:t>lling this function. Nothing is said about any further similarity or di</w:t>
      </w:r>
      <w:r>
        <w:rPr>
          <w:rFonts w:ascii="Calibri" w:eastAsia="Calibri" w:hAnsi="Calibri" w:cs="Calibri"/>
        </w:rPr>
        <w:t>ff</w:t>
      </w:r>
      <w:r>
        <w:t>erence. Because critics have spilled much ink on a misunderstanding, this insight deserves repeating: F</w:t>
      </w:r>
      <w:r>
        <w:t>unctionalism leads to comparability of institutions that can thereby maintain their di</w:t>
      </w:r>
      <w:r>
        <w:rPr>
          <w:rFonts w:ascii="Calibri" w:eastAsia="Calibri" w:hAnsi="Calibri" w:cs="Calibri"/>
        </w:rPr>
        <w:t>ff</w:t>
      </w:r>
      <w:r>
        <w:t>erence even in the comparison. It neither presumes, nor does it lead to, similarity.</w:t>
      </w:r>
    </w:p>
    <w:p w:rsidR="007479CF" w:rsidRDefault="00CD28B5">
      <w:pPr>
        <w:pStyle w:val="Heading2"/>
        <w:ind w:left="-5"/>
      </w:pPr>
      <w:r>
        <w:rPr>
          <w:rFonts w:ascii="Calibri" w:eastAsia="Calibri" w:hAnsi="Calibri" w:cs="Calibri"/>
        </w:rPr>
        <w:t></w:t>
      </w:r>
      <w:r>
        <w:t>. The Systematizing Function: Building a System</w:t>
      </w:r>
    </w:p>
    <w:p w:rsidR="007479CF" w:rsidRDefault="00CD28B5">
      <w:pPr>
        <w:spacing w:after="33"/>
        <w:ind w:left="-15" w:right="-6" w:firstLine="0"/>
      </w:pPr>
      <w:r>
        <w:t xml:space="preserve">As a last step in the comparative </w:t>
      </w:r>
      <w:r>
        <w:t>method, Zweigert proposes the ‘building of a system’ with its own ‘special syntax and vocabulary’.</w:t>
      </w:r>
      <w:r>
        <w:rPr>
          <w:b/>
          <w:vertAlign w:val="superscript"/>
        </w:rPr>
        <w:footnoteReference w:id="139"/>
      </w:r>
      <w:r>
        <w:t xml:space="preserve"> How is it possible to do so, given that ‘comparative law is by its nature a functional and antidoctrinal method’?</w:t>
      </w:r>
      <w:r>
        <w:rPr>
          <w:b/>
          <w:vertAlign w:val="superscript"/>
        </w:rPr>
        <w:footnoteReference w:id="140"/>
      </w:r>
      <w:r>
        <w:t xml:space="preserve"> Must such a system not necessarily be a</w:t>
      </w:r>
      <w:r>
        <w:t>s formalist and as doctrinal as the national systems that the functional methods try to overcome?</w:t>
      </w:r>
      <w:r>
        <w:rPr>
          <w:b/>
          <w:vertAlign w:val="superscript"/>
        </w:rPr>
        <w:footnoteReference w:id="141"/>
      </w:r>
    </w:p>
    <w:p w:rsidR="007479CF" w:rsidRDefault="00CD28B5">
      <w:pPr>
        <w:spacing w:after="387"/>
        <w:ind w:left="-15" w:right="-6"/>
      </w:pPr>
      <w:r>
        <w:t>In one way the answer is yes: scienti</w:t>
      </w:r>
      <w:r>
        <w:rPr>
          <w:rFonts w:ascii="Calibri" w:eastAsia="Calibri" w:hAnsi="Calibri" w:cs="Calibri"/>
        </w:rPr>
        <w:t>fi</w:t>
      </w:r>
      <w:r>
        <w:t>c approaches aim at building systems, and systems are by their nature formalist. We see this development in social an</w:t>
      </w:r>
      <w:r>
        <w:t>thropologists who hoped that function would lead to a general heuristics of societies and societal systems; in sociologists like Parsons who developed his elaborate AGIL system;</w:t>
      </w:r>
      <w:r>
        <w:rPr>
          <w:b/>
          <w:vertAlign w:val="superscript"/>
        </w:rPr>
        <w:footnoteReference w:id="142"/>
      </w:r>
      <w:r>
        <w:t xml:space="preserve"> and in legal philosophers who linked comparative law to the systembuilding p</w:t>
      </w:r>
      <w:r>
        <w:t>roject of general jurisprudence. All these system-building projects have been criticized as being insensitive to details and as technocratic.</w:t>
      </w:r>
    </w:p>
    <w:p w:rsidR="007479CF" w:rsidRDefault="00CD28B5">
      <w:pPr>
        <w:spacing w:after="4" w:line="248" w:lineRule="auto"/>
        <w:ind w:left="-15" w:firstLine="165"/>
      </w:pPr>
      <w:r>
        <w:rPr>
          <w:b/>
          <w:sz w:val="18"/>
          <w:vertAlign w:val="superscript"/>
        </w:rPr>
        <w:t xml:space="preserve">171 </w:t>
      </w:r>
      <w:r>
        <w:rPr>
          <w:sz w:val="18"/>
        </w:rPr>
        <w:t xml:space="preserve">Luhmann (n </w:t>
      </w:r>
      <w:r>
        <w:rPr>
          <w:rFonts w:ascii="Calibri" w:eastAsia="Calibri" w:hAnsi="Calibri" w:cs="Calibri"/>
          <w:sz w:val="18"/>
        </w:rPr>
        <w:t></w:t>
      </w:r>
      <w:r>
        <w:rPr>
          <w:sz w:val="18"/>
        </w:rPr>
        <w:t xml:space="preserve">), </w:t>
      </w:r>
      <w:r>
        <w:rPr>
          <w:rFonts w:ascii="Calibri" w:eastAsia="Calibri" w:hAnsi="Calibri" w:cs="Calibri"/>
          <w:sz w:val="18"/>
        </w:rPr>
        <w:t></w:t>
      </w:r>
      <w:r>
        <w:rPr>
          <w:sz w:val="18"/>
        </w:rPr>
        <w:t>: ‘</w:t>
      </w:r>
      <w:r>
        <w:rPr>
          <w:sz w:val="18"/>
        </w:rPr>
        <w:t>Einzelne funktionale Leistungen sind nur in einer bestimmten analytischen Perspektive äquivalent’ (individual functional achievements are equivalent only from a speci</w:t>
      </w:r>
      <w:r>
        <w:rPr>
          <w:rFonts w:ascii="Calibri" w:eastAsia="Calibri" w:hAnsi="Calibri" w:cs="Calibri"/>
          <w:sz w:val="18"/>
        </w:rPr>
        <w:t>fi</w:t>
      </w:r>
      <w:r>
        <w:rPr>
          <w:sz w:val="18"/>
        </w:rPr>
        <w:t xml:space="preserve">c analytical perspective); Scheiwe, </w:t>
      </w:r>
      <w:r>
        <w:rPr>
          <w:rFonts w:ascii="Calibri" w:eastAsia="Calibri" w:hAnsi="Calibri" w:cs="Calibri"/>
          <w:sz w:val="18"/>
        </w:rPr>
        <w:t></w:t>
      </w:r>
      <w:r>
        <w:rPr>
          <w:sz w:val="18"/>
        </w:rPr>
        <w:t xml:space="preserve"> </w:t>
      </w:r>
      <w:r>
        <w:rPr>
          <w:i/>
          <w:sz w:val="18"/>
        </w:rPr>
        <w:t>Kritische Vierteljahresschrift für Gesetzgebung u</w:t>
      </w:r>
      <w:r>
        <w:rPr>
          <w:i/>
          <w:sz w:val="18"/>
        </w:rPr>
        <w:t>nd Rechtswissenschaft</w:t>
      </w:r>
      <w:r>
        <w:rPr>
          <w:sz w:val="18"/>
        </w:rPr>
        <w:t xml:space="preserve"> </w:t>
      </w:r>
      <w:r>
        <w:rPr>
          <w:rFonts w:ascii="Calibri" w:eastAsia="Calibri" w:hAnsi="Calibri" w:cs="Calibri"/>
          <w:sz w:val="18"/>
        </w:rPr>
        <w:t xml:space="preserve"> </w:t>
      </w:r>
      <w:r>
        <w:rPr>
          <w:sz w:val="18"/>
        </w:rPr>
        <w:t>f.</w:t>
      </w:r>
    </w:p>
    <w:p w:rsidR="007479CF" w:rsidRDefault="00CD28B5">
      <w:pPr>
        <w:spacing w:after="323" w:line="274" w:lineRule="auto"/>
        <w:ind w:left="10" w:right="-5" w:hanging="10"/>
        <w:jc w:val="right"/>
      </w:pPr>
      <w:r>
        <w:rPr>
          <w:rFonts w:ascii="Calibri" w:eastAsia="Calibri" w:hAnsi="Calibri" w:cs="Calibri"/>
        </w:rPr>
        <w:t></w:t>
      </w:r>
    </w:p>
    <w:p w:rsidR="007479CF" w:rsidRDefault="00CD28B5">
      <w:pPr>
        <w:ind w:left="-15" w:right="-6"/>
      </w:pPr>
      <w:r>
        <w:t xml:space="preserve">Comparative lawyers may </w:t>
      </w:r>
      <w:r>
        <w:rPr>
          <w:rFonts w:ascii="Calibri" w:eastAsia="Calibri" w:hAnsi="Calibri" w:cs="Calibri"/>
        </w:rPr>
        <w:t>fi</w:t>
      </w:r>
      <w:r>
        <w:t>rst respond that they do what functionalist lawyers like Philipp Heck did: if rules and systems cannot be discarded altogether, they should at least be improved. For example, comparison reveals that ownership is transferred by mere consent in some legal sy</w:t>
      </w:r>
      <w:r>
        <w:t>stems, while others require the passing of possession, but the answers to speci</w:t>
      </w:r>
      <w:r>
        <w:rPr>
          <w:rFonts w:ascii="Calibri" w:eastAsia="Calibri" w:hAnsi="Calibri" w:cs="Calibri"/>
        </w:rPr>
        <w:t>fi</w:t>
      </w:r>
      <w:r>
        <w:t>c fact situations are remarkably similar. These results can be formalized in three easy rules: Between transferor and transferee ownership passes through mere consent; with re</w:t>
      </w:r>
      <w:r>
        <w:t xml:space="preserve">gard to third parties ownership passes through transfer of possession; third parties with notice must accept the transfer of ownership between transferor and transferee under the </w:t>
      </w:r>
      <w:r>
        <w:rPr>
          <w:rFonts w:ascii="Calibri" w:eastAsia="Calibri" w:hAnsi="Calibri" w:cs="Calibri"/>
        </w:rPr>
        <w:t>fi</w:t>
      </w:r>
      <w:r>
        <w:t>rst rule.</w:t>
      </w:r>
      <w:r>
        <w:rPr>
          <w:b/>
          <w:vertAlign w:val="superscript"/>
        </w:rPr>
        <w:footnoteReference w:id="143"/>
      </w:r>
      <w:r>
        <w:t xml:space="preserve">The ensuing system is still doctrinal and thus open to external </w:t>
      </w:r>
      <w:r>
        <w:t>criticism, but at least it describes the state of the di</w:t>
      </w:r>
      <w:r>
        <w:rPr>
          <w:rFonts w:ascii="Calibri" w:eastAsia="Calibri" w:hAnsi="Calibri" w:cs="Calibri"/>
        </w:rPr>
        <w:t>ff</w:t>
      </w:r>
      <w:r>
        <w:t>erent legal systems better than their own rules.</w:t>
      </w:r>
    </w:p>
    <w:p w:rsidR="007479CF" w:rsidRDefault="00CD28B5">
      <w:pPr>
        <w:spacing w:after="733"/>
        <w:ind w:left="-15" w:right="-6"/>
      </w:pPr>
      <w:r>
        <w:t>Of course this leaves the more fundamental criticism against any kind of systembuilding at large. This criticism cannot be avoided, because system-bu</w:t>
      </w:r>
      <w:r>
        <w:t>ilding is inherently linked with equivalence functionalism.</w:t>
      </w:r>
      <w:r>
        <w:rPr>
          <w:b/>
          <w:vertAlign w:val="superscript"/>
        </w:rPr>
        <w:footnoteReference w:id="144"/>
      </w:r>
      <w:r>
        <w:t xml:space="preserve"> Three kinds of relations are indispensable for functional comparison: the similarity relation between the problems in di</w:t>
      </w:r>
      <w:r>
        <w:rPr>
          <w:rFonts w:ascii="Calibri" w:eastAsia="Calibri" w:hAnsi="Calibri" w:cs="Calibri"/>
        </w:rPr>
        <w:t>ff</w:t>
      </w:r>
      <w:r>
        <w:t>erent societies, the functional relation between each individual problem</w:t>
      </w:r>
      <w:r>
        <w:t xml:space="preserve"> and the legal institution with which a given legal system responds to it, and the equivalence relation between the institutions in di</w:t>
      </w:r>
      <w:r>
        <w:rPr>
          <w:rFonts w:ascii="Calibri" w:eastAsia="Calibri" w:hAnsi="Calibri" w:cs="Calibri"/>
        </w:rPr>
        <w:t>ff</w:t>
      </w:r>
      <w:r>
        <w:t>erent legal systems. The question phrased by functionalist comparison therefore already entails a system; Zweigert’s sys</w:t>
      </w:r>
      <w:r>
        <w:t>tem-building only formalizes it. It would be a mistake to consider this functional system as somehow more real than the doctrinal legal systems from which it is derived, if only because its formulation is necessarily formal, too. The system created by equi</w:t>
      </w:r>
      <w:r>
        <w:t>valence functionalism is a construction, and as such it is open to criticism like any other system. But it may be a better, more appropriate system than others, it may provide new angles on the legal systems we compare, and it may thereby help us both unde</w:t>
      </w:r>
      <w:r>
        <w:t>rstand and critique those systems.</w:t>
      </w:r>
    </w:p>
    <w:p w:rsidR="007479CF" w:rsidRDefault="00CD28B5">
      <w:pPr>
        <w:pStyle w:val="Heading2"/>
        <w:ind w:left="-5"/>
      </w:pPr>
      <w:r>
        <w:rPr>
          <w:rFonts w:ascii="Calibri" w:eastAsia="Calibri" w:hAnsi="Calibri" w:cs="Calibri"/>
        </w:rPr>
        <w:t></w:t>
      </w:r>
      <w:r>
        <w:t>. The Evaluative Function: Determining the Better Law</w:t>
      </w:r>
    </w:p>
    <w:p w:rsidR="007479CF" w:rsidRDefault="00CD28B5">
      <w:pPr>
        <w:spacing w:after="316"/>
        <w:ind w:left="-15" w:right="-6" w:firstLine="0"/>
      </w:pPr>
      <w:r>
        <w:t>While the construction of a system is thus an implicitly normative-critical project, functionalist comparative law sometimes asserts an explicitly normative function:</w:t>
      </w:r>
      <w:r>
        <w:t xml:space="preserve"> Functionality should serve as a yardstick to determine the ‘better law’. This step from facts to norms is always problematic in comparative law. Saleilles proposed to look to the majority solution of legal orders to </w:t>
      </w:r>
      <w:r>
        <w:rPr>
          <w:rFonts w:ascii="Calibri" w:eastAsia="Calibri" w:hAnsi="Calibri" w:cs="Calibri"/>
        </w:rPr>
        <w:t>fi</w:t>
      </w:r>
      <w:r>
        <w:t>nd a ‘droit idéal relatif’,</w:t>
      </w:r>
      <w:r>
        <w:rPr>
          <w:b/>
          <w:vertAlign w:val="superscript"/>
        </w:rPr>
        <w:footnoteReference w:id="145"/>
      </w:r>
      <w:r>
        <w:t xml:space="preserve"> but </w:t>
      </w:r>
      <w:r>
        <w:rPr>
          <w:rFonts w:ascii="Calibri" w:eastAsia="Calibri" w:hAnsi="Calibri" w:cs="Calibri"/>
        </w:rPr>
        <w:t></w:t>
      </w:r>
    </w:p>
    <w:p w:rsidR="007479CF" w:rsidRDefault="00CD28B5">
      <w:pPr>
        <w:ind w:left="-15" w:right="-6" w:firstLine="0"/>
      </w:pPr>
      <w:r>
        <w:t xml:space="preserve">why should majority suggest superiority? The Common Core projects look to commonalities among </w:t>
      </w:r>
      <w:r>
        <w:rPr>
          <w:i/>
        </w:rPr>
        <w:t>all</w:t>
      </w:r>
      <w:r>
        <w:t xml:space="preserve"> legal orders, but even the fact of commonality (to the extent it exists) does not have intrinsic normative force.</w:t>
      </w:r>
      <w:r>
        <w:rPr>
          <w:b/>
          <w:vertAlign w:val="superscript"/>
        </w:rPr>
        <w:footnoteReference w:id="146"/>
      </w:r>
      <w:r>
        <w:t xml:space="preserve"> Indeed, functional comparatists often hes</w:t>
      </w:r>
      <w:r>
        <w:t>itate to move to such normative conclusions. Rabel, for example, argued that evaluation was not strictly an element of comparative law.</w:t>
      </w:r>
      <w:r>
        <w:rPr>
          <w:b/>
          <w:vertAlign w:val="superscript"/>
        </w:rPr>
        <w:footnoteReference w:id="147"/>
      </w:r>
      <w:r>
        <w:t>The neo-Kantians’ concept of ideal law is independent of existing legal orders.</w:t>
      </w:r>
      <w:r>
        <w:rPr>
          <w:b/>
          <w:vertAlign w:val="superscript"/>
        </w:rPr>
        <w:footnoteReference w:id="148"/>
      </w:r>
      <w:r>
        <w:t>Both approaches thus face the same pro</w:t>
      </w:r>
      <w:r>
        <w:t>blem from di</w:t>
      </w:r>
      <w:r>
        <w:rPr>
          <w:rFonts w:ascii="Calibri" w:eastAsia="Calibri" w:hAnsi="Calibri" w:cs="Calibri"/>
        </w:rPr>
        <w:t>ff</w:t>
      </w:r>
      <w:r>
        <w:t>erent sides. The sociologist cannot deduce an ‘ought’ from an ‘is’; comparative material gives no guidelines; even commonality has no independent normative force. The idealist philosopher can develop his ideal law in the abstract; but it is n</w:t>
      </w:r>
      <w:r>
        <w:t>ot clear how the knowledge of the di</w:t>
      </w:r>
      <w:r>
        <w:rPr>
          <w:rFonts w:ascii="Calibri" w:eastAsia="Calibri" w:hAnsi="Calibri" w:cs="Calibri"/>
        </w:rPr>
        <w:t>ff</w:t>
      </w:r>
      <w:r>
        <w:t>erent legal orders can help him or why that knowledge is even relevant.</w:t>
      </w:r>
    </w:p>
    <w:p w:rsidR="007479CF" w:rsidRDefault="00CD28B5">
      <w:pPr>
        <w:spacing w:after="40"/>
        <w:ind w:left="-15" w:right="-6"/>
      </w:pPr>
      <w:r>
        <w:t>Zweigert himself was aware that the empirical material collected by the comparatist did not have legal authority</w:t>
      </w:r>
      <w:r>
        <w:rPr>
          <w:b/>
          <w:vertAlign w:val="superscript"/>
        </w:rPr>
        <w:footnoteReference w:id="149"/>
      </w:r>
      <w:r>
        <w:t xml:space="preserve"> and that the comparative lawyer</w:t>
      </w:r>
      <w:r>
        <w:t>, in order to determine the better law, ‘must operate with assumptions which . . . would rightly be derided by the sociologist of law as simple working hypotheses’.</w:t>
      </w:r>
      <w:r>
        <w:rPr>
          <w:b/>
          <w:vertAlign w:val="superscript"/>
        </w:rPr>
        <w:footnoteReference w:id="150"/>
      </w:r>
      <w:r>
        <w:t xml:space="preserve"> But he thought that, whenever functionalist comparative law studies </w:t>
      </w:r>
      <w:r>
        <w:rPr>
          <w:rFonts w:ascii="Calibri" w:eastAsia="Calibri" w:hAnsi="Calibri" w:cs="Calibri"/>
        </w:rPr>
        <w:t>fi</w:t>
      </w:r>
      <w:r>
        <w:t>nd similarity in re</w:t>
      </w:r>
      <w:r>
        <w:t>sult among di</w:t>
      </w:r>
      <w:r>
        <w:rPr>
          <w:rFonts w:ascii="Calibri" w:eastAsia="Calibri" w:hAnsi="Calibri" w:cs="Calibri"/>
        </w:rPr>
        <w:t>ff</w:t>
      </w:r>
      <w:r>
        <w:t>erent legal orders, all that needs to be evaluated is the better doctrinal formulation, and this is a task that the jurist is both able and entitled to do.</w:t>
      </w:r>
      <w:r>
        <w:rPr>
          <w:b/>
          <w:vertAlign w:val="superscript"/>
        </w:rPr>
        <w:footnoteReference w:id="151"/>
      </w:r>
      <w:r>
        <w:t xml:space="preserve"> Others seem more ambitious.</w:t>
      </w:r>
      <w:r>
        <w:rPr>
          <w:b/>
          <w:vertAlign w:val="superscript"/>
        </w:rPr>
        <w:footnoteReference w:id="152"/>
      </w:r>
    </w:p>
    <w:p w:rsidR="007479CF" w:rsidRDefault="00CD28B5">
      <w:pPr>
        <w:spacing w:after="333"/>
        <w:ind w:left="-15" w:right="-6"/>
      </w:pPr>
      <w:r>
        <w:t>The unease is justi</w:t>
      </w:r>
      <w:r>
        <w:rPr>
          <w:rFonts w:ascii="Calibri" w:eastAsia="Calibri" w:hAnsi="Calibri" w:cs="Calibri"/>
        </w:rPr>
        <w:t>fi</w:t>
      </w:r>
      <w:r>
        <w:t>ed: equivalence functionalism provides surprisingly limited tools for evaluation.</w:t>
      </w:r>
      <w:r>
        <w:rPr>
          <w:b/>
          <w:vertAlign w:val="superscript"/>
        </w:rPr>
        <w:t>187</w:t>
      </w:r>
      <w:r>
        <w:t xml:space="preserve"> The speci</w:t>
      </w:r>
      <w:r>
        <w:rPr>
          <w:rFonts w:ascii="Calibri" w:eastAsia="Calibri" w:hAnsi="Calibri" w:cs="Calibri"/>
        </w:rPr>
        <w:t>fi</w:t>
      </w:r>
      <w:r>
        <w:t>c function itself cannot serve as a yardstick, for functionally equivalent institutions are by de</w:t>
      </w:r>
      <w:r>
        <w:rPr>
          <w:rFonts w:ascii="Calibri" w:eastAsia="Calibri" w:hAnsi="Calibri" w:cs="Calibri"/>
        </w:rPr>
        <w:t>fi</w:t>
      </w:r>
      <w:r>
        <w:t>nition of equal value with respect to that function—equivalence means, literally, of equal value. Once a speci</w:t>
      </w:r>
      <w:r>
        <w:rPr>
          <w:rFonts w:ascii="Calibri" w:eastAsia="Calibri" w:hAnsi="Calibri" w:cs="Calibri"/>
        </w:rPr>
        <w:t>fi</w:t>
      </w:r>
      <w:r>
        <w:t>c function has been used to determine relative similarity, the same function cannot determine superiority, for this would require a relative di</w:t>
      </w:r>
      <w:r>
        <w:rPr>
          <w:rFonts w:ascii="Calibri" w:eastAsia="Calibri" w:hAnsi="Calibri" w:cs="Calibri"/>
        </w:rPr>
        <w:t>f</w:t>
      </w:r>
      <w:r>
        <w:rPr>
          <w:rFonts w:ascii="Calibri" w:eastAsia="Calibri" w:hAnsi="Calibri" w:cs="Calibri"/>
        </w:rPr>
        <w:t>f</w:t>
      </w:r>
      <w:r>
        <w:t xml:space="preserve">erence. It is impossible </w:t>
      </w:r>
      <w:r>
        <w:rPr>
          <w:rFonts w:ascii="Calibri" w:eastAsia="Calibri" w:hAnsi="Calibri" w:cs="Calibri"/>
        </w:rPr>
        <w:t>fi</w:t>
      </w:r>
      <w:r>
        <w:t xml:space="preserve">rst to isolate the function of a legal institution from its doctrinal formulation and to measure this remaining functional element against some ideal function, for no such ideal function exists beyond the mundane reality of the </w:t>
      </w:r>
      <w:r>
        <w:t xml:space="preserve">legal order. In this strict sense, better-law theory is not compatible with functionalist comparative law. </w:t>
      </w:r>
      <w:r>
        <w:rPr>
          <w:rFonts w:ascii="Calibri" w:eastAsia="Calibri" w:hAnsi="Calibri" w:cs="Calibri"/>
        </w:rPr>
        <w:t></w:t>
      </w:r>
    </w:p>
    <w:p w:rsidR="007479CF" w:rsidRDefault="00CD28B5">
      <w:pPr>
        <w:ind w:left="-15" w:right="-6" w:firstLine="0"/>
      </w:pPr>
      <w:r>
        <w:t>This may explain why so many comparative studies list similarities and di</w:t>
      </w:r>
      <w:r>
        <w:rPr>
          <w:rFonts w:ascii="Calibri" w:eastAsia="Calibri" w:hAnsi="Calibri" w:cs="Calibri"/>
        </w:rPr>
        <w:t>ff</w:t>
      </w:r>
      <w:r>
        <w:t>erences and then run out of criteria to determine which of the laws is</w:t>
      </w:r>
      <w:r>
        <w:t xml:space="preserve"> better.</w:t>
      </w:r>
    </w:p>
    <w:p w:rsidR="007479CF" w:rsidRDefault="00CD28B5">
      <w:pPr>
        <w:ind w:left="-15" w:right="-6"/>
      </w:pPr>
      <w:r>
        <w:t>If the yardstick must therefore lie outside the speci</w:t>
      </w:r>
      <w:r>
        <w:rPr>
          <w:rFonts w:ascii="Calibri" w:eastAsia="Calibri" w:hAnsi="Calibri" w:cs="Calibri"/>
        </w:rPr>
        <w:t>fi</w:t>
      </w:r>
      <w:r>
        <w:t>c function under scrutiny, it can be found either in the costs of an institution, or in its functionality or dysfunctionality regarding other problems. This, however, makes a comprehensive eva</w:t>
      </w:r>
      <w:r>
        <w:t>luation almost impossibly complex. Take, for example, the di</w:t>
      </w:r>
      <w:r>
        <w:rPr>
          <w:rFonts w:ascii="Calibri" w:eastAsia="Calibri" w:hAnsi="Calibri" w:cs="Calibri"/>
        </w:rPr>
        <w:t>ff</w:t>
      </w:r>
      <w:r>
        <w:t>erent responses to car accidents of the New Zealand insurance system and the English tort law system. Arguably, New Zealand’s law is functionally superior to English law regarding the function o</w:t>
      </w:r>
      <w:r>
        <w:t xml:space="preserve">f compensation, because its transaction costs are lower. English law in turn is arguably superior with regard to the function of deterrence, because it creates better incentives for careful driving. Now, equivalence functionalism suggests that New Zealand </w:t>
      </w:r>
      <w:r>
        <w:t>meets the latter function of deterrence with other institutions— criminal liability, for example—so we have to account for this in our evaluation, too. But criminal law is costly and perhaps dysfunctional in so far as it clutters courthouses, so we must al</w:t>
      </w:r>
      <w:r>
        <w:t>so take the costs of court procedures into account, and so forth. Micro-comparison regarding individual functions turns into macro-comparison between whole legal systems.</w:t>
      </w:r>
    </w:p>
    <w:p w:rsidR="007479CF" w:rsidRDefault="00CD28B5">
      <w:pPr>
        <w:ind w:left="-15" w:right="-6"/>
      </w:pPr>
      <w:r>
        <w:t>This example illustrates the crux of equivalence functionalism: its advantages in ach</w:t>
      </w:r>
      <w:r>
        <w:t>ieving comparability turn into disadvantages for evaluation. The focus on functional equivalence instead of similarity or di</w:t>
      </w:r>
      <w:r>
        <w:rPr>
          <w:rFonts w:ascii="Calibri" w:eastAsia="Calibri" w:hAnsi="Calibri" w:cs="Calibri"/>
        </w:rPr>
        <w:t>ff</w:t>
      </w:r>
      <w:r>
        <w:t>erence is a deliberate way of mastering complexity without reducing speci</w:t>
      </w:r>
      <w:r>
        <w:rPr>
          <w:rFonts w:ascii="Calibri" w:eastAsia="Calibri" w:hAnsi="Calibri" w:cs="Calibri"/>
        </w:rPr>
        <w:t>fi</w:t>
      </w:r>
      <w:r>
        <w:t>city: institutions are made comparable precisely by red</w:t>
      </w:r>
      <w:r>
        <w:t>ucing them to one function. To evaluate these institutions, however, it is not enough to focus only on this one function, because institutions are multifunctional; yet the focus on all other functions and dysfunctions reintroduces complexity.</w:t>
      </w:r>
    </w:p>
    <w:p w:rsidR="007479CF" w:rsidRDefault="00CD28B5">
      <w:pPr>
        <w:ind w:left="-15" w:right="-6"/>
      </w:pPr>
      <w:r>
        <w:t>This does not</w:t>
      </w:r>
      <w:r>
        <w:t xml:space="preserve"> make an evaluation of the results of functionalist comparison impossible, but it shows its limits.</w:t>
      </w:r>
      <w:r>
        <w:rPr>
          <w:b/>
          <w:vertAlign w:val="superscript"/>
        </w:rPr>
        <w:footnoteReference w:id="153"/>
      </w:r>
      <w:r>
        <w:t xml:space="preserve"> First, the criteria of evaluation must be di</w:t>
      </w:r>
      <w:r>
        <w:rPr>
          <w:rFonts w:ascii="Calibri" w:eastAsia="Calibri" w:hAnsi="Calibri" w:cs="Calibri"/>
        </w:rPr>
        <w:t>ff</w:t>
      </w:r>
      <w:r>
        <w:t>erent from the criteria of comparability. Ultimately, evaluation remains a policy decision, a practical judg</w:t>
      </w:r>
      <w:r>
        <w:t>ment, under conditions of partial uncertainty. The functional method can show alternatives and provide some information and thereby greatly improve this policy decision, but it cannot substitute for it. Second, any evaluation of functionally equivalent sol</w:t>
      </w:r>
      <w:r>
        <w:t xml:space="preserve">utions is valid only with regard to the function scrutinized in the comparative inquiry—one law, one institution is not better than the other </w:t>
      </w:r>
      <w:r>
        <w:rPr>
          <w:i/>
        </w:rPr>
        <w:t>tout court</w:t>
      </w:r>
      <w:r>
        <w:t>. At best it may be better regarding a certain function. Thus, equivalence functionalism makes comparabi</w:t>
      </w:r>
      <w:r>
        <w:t>lity possible, but simultaneously suggests restraint in evaluating results.</w:t>
      </w:r>
    </w:p>
    <w:p w:rsidR="007479CF" w:rsidRDefault="00CD28B5">
      <w:pPr>
        <w:spacing w:after="312"/>
        <w:ind w:left="-15" w:right="-6"/>
      </w:pPr>
      <w:r>
        <w:t xml:space="preserve">A good example for the strengths and limits of functionalism for evaluation is the House of Lords decision in </w:t>
      </w:r>
      <w:r>
        <w:rPr>
          <w:i/>
        </w:rPr>
        <w:t>White v Jones</w:t>
      </w:r>
      <w:r>
        <w:t>.</w:t>
      </w:r>
      <w:r>
        <w:rPr>
          <w:b/>
          <w:vertAlign w:val="superscript"/>
        </w:rPr>
        <w:t>189</w:t>
      </w:r>
      <w:r>
        <w:t xml:space="preserve"> The question was whether a solicitor who had neglige</w:t>
      </w:r>
      <w:r>
        <w:t xml:space="preserve">ntly failed to </w:t>
      </w:r>
      <w:r>
        <w:rPr>
          <w:rFonts w:ascii="Calibri" w:eastAsia="Calibri" w:hAnsi="Calibri" w:cs="Calibri"/>
        </w:rPr>
        <w:t>fi</w:t>
      </w:r>
      <w:r>
        <w:t>nalize a will was responsible to the intended bene</w:t>
      </w:r>
      <w:r>
        <w:rPr>
          <w:rFonts w:ascii="Calibri" w:eastAsia="Calibri" w:hAnsi="Calibri" w:cs="Calibri"/>
        </w:rPr>
        <w:t>fi</w:t>
      </w:r>
      <w:r>
        <w:t xml:space="preserve">ciaries. The Court starts by assessing several functions of liability: Tort-feasors </w:t>
      </w:r>
      <w:r>
        <w:rPr>
          <w:rFonts w:ascii="Calibri" w:eastAsia="Calibri" w:hAnsi="Calibri" w:cs="Calibri"/>
        </w:rPr>
        <w:t></w:t>
      </w:r>
    </w:p>
    <w:p w:rsidR="007479CF" w:rsidRDefault="00CD28B5">
      <w:pPr>
        <w:spacing w:after="733"/>
        <w:ind w:left="-15" w:right="-6" w:firstLine="0"/>
      </w:pPr>
      <w:r>
        <w:t>should not go ‘scot-free’, solicitors should maintain a high standard, legacies play an important r</w:t>
      </w:r>
      <w:r>
        <w:t>ole in society, etc. Then the Court compares various functionally equivalent foreign doctrinal constructions that would support the solicitor’s liability as to their adequacy within English law. However, while these foreign solutions are comparable because</w:t>
      </w:r>
      <w:r>
        <w:t xml:space="preserve"> they are responses to the same problem (functionalism), the second step, assessing whether these solutions could be adopted in English law, is a matter of doctrinal </w:t>
      </w:r>
      <w:r>
        <w:rPr>
          <w:rFonts w:ascii="Calibri" w:eastAsia="Calibri" w:hAnsi="Calibri" w:cs="Calibri"/>
        </w:rPr>
        <w:t>fi</w:t>
      </w:r>
      <w:r>
        <w:t>t within English law. Functionalism could play no role in this.</w:t>
      </w:r>
    </w:p>
    <w:p w:rsidR="007479CF" w:rsidRDefault="00CD28B5">
      <w:pPr>
        <w:pStyle w:val="Heading2"/>
        <w:ind w:left="-5"/>
      </w:pPr>
      <w:r>
        <w:rPr>
          <w:rFonts w:ascii="Calibri" w:eastAsia="Calibri" w:hAnsi="Calibri" w:cs="Calibri"/>
        </w:rPr>
        <w:t></w:t>
      </w:r>
      <w:r>
        <w:t>. The Universalizing Fu</w:t>
      </w:r>
      <w:r>
        <w:t>nction: Unifying Law</w:t>
      </w:r>
    </w:p>
    <w:p w:rsidR="007479CF" w:rsidRDefault="00CD28B5">
      <w:pPr>
        <w:ind w:left="-15" w:right="-6" w:firstLine="0"/>
      </w:pPr>
      <w:r>
        <w:t>Evaluation is closely linked to another function connected with the functional method since its early days: to be a tool for the uni</w:t>
      </w:r>
      <w:r>
        <w:rPr>
          <w:rFonts w:ascii="Calibri" w:eastAsia="Calibri" w:hAnsi="Calibri" w:cs="Calibri"/>
        </w:rPr>
        <w:t>fi</w:t>
      </w:r>
      <w:r>
        <w:t>cation of law. Functionalist comparatists advocate their method as ideal for this purpose, whether re</w:t>
      </w:r>
      <w:r>
        <w:t>gionally (eg in Europe), or worldwide. Their argument rests on functionalism’s ability to identify similarities among seemingly di</w:t>
      </w:r>
      <w:r>
        <w:rPr>
          <w:rFonts w:ascii="Calibri" w:eastAsia="Calibri" w:hAnsi="Calibri" w:cs="Calibri"/>
        </w:rPr>
        <w:t>ff</w:t>
      </w:r>
      <w:r>
        <w:t>erent laws; it should enable lawmakers to write an optimal uniform law that overcomes and transcends the doctrinal peculiari</w:t>
      </w:r>
      <w:r>
        <w:t>ties of local legal systems. Once the functional similarities of di</w:t>
      </w:r>
      <w:r>
        <w:rPr>
          <w:rFonts w:ascii="Calibri" w:eastAsia="Calibri" w:hAnsi="Calibri" w:cs="Calibri"/>
        </w:rPr>
        <w:t>ff</w:t>
      </w:r>
      <w:r>
        <w:t>erent laws are realized, the argument goes, it becomes easier to unify them on the basis of these similarities.</w:t>
      </w:r>
    </w:p>
    <w:p w:rsidR="007479CF" w:rsidRDefault="00CD28B5">
      <w:pPr>
        <w:ind w:left="-15" w:right="-6"/>
      </w:pPr>
      <w:r>
        <w:t>Two problems with this argument have been treated above: the functional met</w:t>
      </w:r>
      <w:r>
        <w:t>hod alone cannot reveal the best legal system (Section III.</w:t>
      </w:r>
      <w:r>
        <w:rPr>
          <w:rFonts w:ascii="Calibri" w:eastAsia="Calibri" w:hAnsi="Calibri" w:cs="Calibri"/>
        </w:rPr>
        <w:t></w:t>
      </w:r>
      <w:r>
        <w:t>), and as an antidoctrinal method it is not well equipped for the formulation of legal rules that must be doctrinal (Section III.</w:t>
      </w:r>
      <w:r>
        <w:rPr>
          <w:rFonts w:ascii="Calibri" w:eastAsia="Calibri" w:hAnsi="Calibri" w:cs="Calibri"/>
        </w:rPr>
        <w:t></w:t>
      </w:r>
      <w:r>
        <w:t xml:space="preserve">). Lawmakers cannot ignore lawyers’ actual experiences with legal </w:t>
      </w:r>
      <w:r>
        <w:t>doctrine and the creation of systems if they want to create a new doctrine and a new system.</w:t>
      </w:r>
      <w:r>
        <w:rPr>
          <w:b/>
          <w:vertAlign w:val="superscript"/>
        </w:rPr>
        <w:footnoteReference w:id="154"/>
      </w:r>
      <w:r>
        <w:t xml:space="preserve"> Functionalist comparative law works well for critiquing doctrine, far less well for its establishment.</w:t>
      </w:r>
    </w:p>
    <w:p w:rsidR="007479CF" w:rsidRDefault="00CD28B5">
      <w:pPr>
        <w:spacing w:after="332"/>
        <w:ind w:left="-15" w:right="-6"/>
      </w:pPr>
      <w:r>
        <w:t>Yet there is an additional, slightly less obvious reason w</w:t>
      </w:r>
      <w:r>
        <w:t>hy functionalist comparative law is a particularly bad tool for the uni</w:t>
      </w:r>
      <w:r>
        <w:rPr>
          <w:rFonts w:ascii="Calibri" w:eastAsia="Calibri" w:hAnsi="Calibri" w:cs="Calibri"/>
        </w:rPr>
        <w:t>fi</w:t>
      </w:r>
      <w:r>
        <w:t>cation of law. A teleological version of functionalism may well contain a preference for convergence, some elements of which appear in the work of both Rabel and Zweigert. Equivalence</w:t>
      </w:r>
      <w:r>
        <w:t xml:space="preserve"> functionalism, on the other hand, provides arguments against uni</w:t>
      </w:r>
      <w:r>
        <w:rPr>
          <w:rFonts w:ascii="Calibri" w:eastAsia="Calibri" w:hAnsi="Calibri" w:cs="Calibri"/>
        </w:rPr>
        <w:t>fi</w:t>
      </w:r>
      <w:r>
        <w:t>cation. If di</w:t>
      </w:r>
      <w:r>
        <w:rPr>
          <w:rFonts w:ascii="Calibri" w:eastAsia="Calibri" w:hAnsi="Calibri" w:cs="Calibri"/>
        </w:rPr>
        <w:t>ff</w:t>
      </w:r>
      <w:r>
        <w:t>erent legal systems are already similar regarding individual functions, as the functional method shows, then the bene</w:t>
      </w:r>
      <w:r>
        <w:rPr>
          <w:rFonts w:ascii="Calibri" w:eastAsia="Calibri" w:hAnsi="Calibri" w:cs="Calibri"/>
        </w:rPr>
        <w:t>fi</w:t>
      </w:r>
      <w:r>
        <w:t>ts from uni</w:t>
      </w:r>
      <w:r>
        <w:rPr>
          <w:rFonts w:ascii="Calibri" w:eastAsia="Calibri" w:hAnsi="Calibri" w:cs="Calibri"/>
        </w:rPr>
        <w:t>fi</w:t>
      </w:r>
      <w:r>
        <w:t>cation lie only in formal improvements</w:t>
      </w:r>
      <w:r>
        <w:rPr>
          <w:b/>
          <w:vertAlign w:val="superscript"/>
        </w:rPr>
        <w:footnoteReference w:id="155"/>
      </w:r>
      <w:r>
        <w:t xml:space="preserve"> a</w:t>
      </w:r>
      <w:r>
        <w:t>nd may well be outweighed by the costs.</w:t>
      </w:r>
      <w:r>
        <w:rPr>
          <w:b/>
          <w:vertAlign w:val="superscript"/>
        </w:rPr>
        <w:footnoteReference w:id="156"/>
      </w:r>
      <w:r>
        <w:t xml:space="preserve"> First, it is often </w:t>
      </w:r>
      <w:r>
        <w:rPr>
          <w:rFonts w:ascii="Calibri" w:eastAsia="Calibri" w:hAnsi="Calibri" w:cs="Calibri"/>
        </w:rPr>
        <w:t></w:t>
      </w:r>
    </w:p>
    <w:p w:rsidR="007479CF" w:rsidRDefault="00CD28B5">
      <w:pPr>
        <w:ind w:left="-15" w:right="-6" w:firstLine="0"/>
      </w:pPr>
      <w:r>
        <w:t>ine</w:t>
      </w:r>
      <w:r>
        <w:rPr>
          <w:rFonts w:ascii="Calibri" w:eastAsia="Calibri" w:hAnsi="Calibri" w:cs="Calibri"/>
        </w:rPr>
        <w:t>ffi</w:t>
      </w:r>
      <w:r>
        <w:t>cient for lawyers to learn new formal rules if these ful</w:t>
      </w:r>
      <w:r>
        <w:rPr>
          <w:rFonts w:ascii="Calibri" w:eastAsia="Calibri" w:hAnsi="Calibri" w:cs="Calibri"/>
        </w:rPr>
        <w:t>fi</w:t>
      </w:r>
      <w:r>
        <w:t>l the same functions as the old ones; this is one important reason for practitioners’ continuing lack of interest in the UN Sales Convention and for the reserved reactions of European business to proposals for a uni</w:t>
      </w:r>
      <w:r>
        <w:rPr>
          <w:rFonts w:ascii="Calibri" w:eastAsia="Calibri" w:hAnsi="Calibri" w:cs="Calibri"/>
        </w:rPr>
        <w:t>fi</w:t>
      </w:r>
      <w:r>
        <w:t>ed European contract law.</w:t>
      </w:r>
      <w:r>
        <w:rPr>
          <w:b/>
          <w:vertAlign w:val="superscript"/>
        </w:rPr>
        <w:footnoteReference w:id="157"/>
      </w:r>
      <w:r>
        <w:rPr>
          <w:sz w:val="20"/>
          <w:vertAlign w:val="superscript"/>
        </w:rPr>
        <w:t>a</w:t>
      </w:r>
      <w:r>
        <w:t xml:space="preserve"> Second, th</w:t>
      </w:r>
      <w:r>
        <w:t>e functional method assumes that each legal institution performs a variety of functions within its legal system and that there is a sensitive interaction among the various institutions in each system that accounts for intersystemic di</w:t>
      </w:r>
      <w:r>
        <w:rPr>
          <w:rFonts w:ascii="Calibri" w:eastAsia="Calibri" w:hAnsi="Calibri" w:cs="Calibri"/>
        </w:rPr>
        <w:t>ff</w:t>
      </w:r>
      <w:r>
        <w:t>erences. Uni</w:t>
      </w:r>
      <w:r>
        <w:rPr>
          <w:rFonts w:ascii="Calibri" w:eastAsia="Calibri" w:hAnsi="Calibri" w:cs="Calibri"/>
        </w:rPr>
        <w:t>fi</w:t>
      </w:r>
      <w:r>
        <w:t>cation</w:t>
      </w:r>
      <w:r>
        <w:t xml:space="preserve"> of individual areas of the law is then likely to unsettle this balance. This can be observed in the di</w:t>
      </w:r>
      <w:r>
        <w:rPr>
          <w:rFonts w:ascii="Calibri" w:eastAsia="Calibri" w:hAnsi="Calibri" w:cs="Calibri"/>
        </w:rPr>
        <w:t>ffi</w:t>
      </w:r>
      <w:r>
        <w:t>cult coordination between the United Nations Sales Convention (CISG) and national legal systems.</w:t>
      </w:r>
      <w:r>
        <w:rPr>
          <w:b/>
          <w:vertAlign w:val="superscript"/>
        </w:rPr>
        <w:footnoteReference w:id="158"/>
      </w:r>
      <w:r>
        <w:t xml:space="preserve"> The functional method with its emphasis on functional equivalence shows why uni</w:t>
      </w:r>
      <w:r>
        <w:rPr>
          <w:rFonts w:ascii="Calibri" w:eastAsia="Calibri" w:hAnsi="Calibri" w:cs="Calibri"/>
        </w:rPr>
        <w:t>fi</w:t>
      </w:r>
      <w:r>
        <w:t>cation may be easier than one might think, but also why it is less important.</w:t>
      </w:r>
    </w:p>
    <w:p w:rsidR="007479CF" w:rsidRDefault="00CD28B5">
      <w:pPr>
        <w:spacing w:after="34"/>
        <w:ind w:left="-15" w:right="-6"/>
      </w:pPr>
      <w:r>
        <w:t>Of course, the last argument of interactions within a system can also provide an argument in fav</w:t>
      </w:r>
      <w:r>
        <w:t>our of uni</w:t>
      </w:r>
      <w:r>
        <w:rPr>
          <w:rFonts w:ascii="Calibri" w:eastAsia="Calibri" w:hAnsi="Calibri" w:cs="Calibri"/>
        </w:rPr>
        <w:t>fi</w:t>
      </w:r>
      <w:r>
        <w:t>cation. That di</w:t>
      </w:r>
      <w:r>
        <w:rPr>
          <w:rFonts w:ascii="Calibri" w:eastAsia="Calibri" w:hAnsi="Calibri" w:cs="Calibri"/>
        </w:rPr>
        <w:t>ff</w:t>
      </w:r>
      <w:r>
        <w:t>erent legal systems respond to similar problems with di</w:t>
      </w:r>
      <w:r>
        <w:rPr>
          <w:rFonts w:ascii="Calibri" w:eastAsia="Calibri" w:hAnsi="Calibri" w:cs="Calibri"/>
        </w:rPr>
        <w:t>ff</w:t>
      </w:r>
      <w:r>
        <w:t>erent needs leads to problems in choice of law if actors, willingly or unwillingly, pick and choose solutions from di</w:t>
      </w:r>
      <w:r>
        <w:rPr>
          <w:rFonts w:ascii="Calibri" w:eastAsia="Calibri" w:hAnsi="Calibri" w:cs="Calibri"/>
        </w:rPr>
        <w:t>ff</w:t>
      </w:r>
      <w:r>
        <w:t>erent legal orders that do not combine into a whole</w:t>
      </w:r>
      <w:r>
        <w:t>. For example, one legal system may protect surviving spouses through the law of succession, the other through family law; one legal system protects poor parties through the law of damages, the other through the law of procedure. This can lead to inconsist</w:t>
      </w:r>
      <w:r>
        <w:t>encies if, under a choice of law analysis, di</w:t>
      </w:r>
      <w:r>
        <w:rPr>
          <w:rFonts w:ascii="Calibri" w:eastAsia="Calibri" w:hAnsi="Calibri" w:cs="Calibri"/>
        </w:rPr>
        <w:t>ff</w:t>
      </w:r>
      <w:r>
        <w:t>erent laws are applicable for di</w:t>
      </w:r>
      <w:r>
        <w:rPr>
          <w:rFonts w:ascii="Calibri" w:eastAsia="Calibri" w:hAnsi="Calibri" w:cs="Calibri"/>
        </w:rPr>
        <w:t>ff</w:t>
      </w:r>
      <w:r>
        <w:t>erent areas. Most of these problems, however, can be countered through a functionalist approach to choice of law.</w:t>
      </w:r>
      <w:r>
        <w:rPr>
          <w:b/>
          <w:vertAlign w:val="superscript"/>
        </w:rPr>
        <w:footnoteReference w:id="159"/>
      </w:r>
    </w:p>
    <w:p w:rsidR="007479CF" w:rsidRDefault="00CD28B5">
      <w:pPr>
        <w:spacing w:after="298"/>
        <w:ind w:left="-15" w:right="-6"/>
      </w:pPr>
      <w:r>
        <w:t>It becomes evident, somewhat surprisingly, that the functio</w:t>
      </w:r>
      <w:r>
        <w:t>nal method is not only a bad tool for legal uni</w:t>
      </w:r>
      <w:r>
        <w:rPr>
          <w:rFonts w:ascii="Calibri" w:eastAsia="Calibri" w:hAnsi="Calibri" w:cs="Calibri"/>
        </w:rPr>
        <w:t>fi</w:t>
      </w:r>
      <w:r>
        <w:t>cation, but even provides powerful arguments for maintaining di</w:t>
      </w:r>
      <w:r>
        <w:rPr>
          <w:rFonts w:ascii="Calibri" w:eastAsia="Calibri" w:hAnsi="Calibri" w:cs="Calibri"/>
        </w:rPr>
        <w:t>ff</w:t>
      </w:r>
      <w:r>
        <w:t>erences. Indeed, modern law makers often prefer functional equivalence to uni</w:t>
      </w:r>
      <w:r>
        <w:rPr>
          <w:rFonts w:ascii="Calibri" w:eastAsia="Calibri" w:hAnsi="Calibri" w:cs="Calibri"/>
        </w:rPr>
        <w:t>fi</w:t>
      </w:r>
      <w:r>
        <w:t xml:space="preserve">cation. For example, in European Union law, directives must be </w:t>
      </w:r>
      <w:r>
        <w:t>implemented not in their doctrinal structure but only with regard to their results; the implementing laws in the member states are not similar but functionally equivalent. Similarly, the principle of mutual recognition in European Union law requires not si</w:t>
      </w:r>
      <w:r>
        <w:t>milarity, but equivalence—presumably functional equivalence.</w:t>
      </w:r>
      <w:r>
        <w:rPr>
          <w:b/>
          <w:vertAlign w:val="superscript"/>
        </w:rPr>
        <w:footnoteReference w:id="160"/>
      </w:r>
      <w:r>
        <w:t xml:space="preserve">The OECD Convention on Corruption requires its member states to use not </w:t>
      </w:r>
      <w:r>
        <w:rPr>
          <w:rFonts w:ascii="Calibri" w:eastAsia="Calibri" w:hAnsi="Calibri" w:cs="Calibri"/>
        </w:rPr>
        <w:t></w:t>
      </w:r>
    </w:p>
    <w:p w:rsidR="007479CF" w:rsidRDefault="00CD28B5">
      <w:pPr>
        <w:spacing w:after="733"/>
        <w:ind w:left="-15" w:right="-6" w:firstLine="0"/>
      </w:pPr>
      <w:r>
        <w:t>similar, but functionally equivalent measures against corruption.</w:t>
      </w:r>
      <w:r>
        <w:rPr>
          <w:b/>
          <w:vertAlign w:val="superscript"/>
        </w:rPr>
        <w:footnoteReference w:id="161"/>
      </w:r>
      <w:r>
        <w:t xml:space="preserve"> So does international trade law: In the famous sem</w:t>
      </w:r>
      <w:r>
        <w:t>i-conductors case, Europeans complained that through monitoring Japanese corporations, the Japanese government was e</w:t>
      </w:r>
      <w:r>
        <w:rPr>
          <w:rFonts w:ascii="Calibri" w:eastAsia="Calibri" w:hAnsi="Calibri" w:cs="Calibri"/>
        </w:rPr>
        <w:t>ff</w:t>
      </w:r>
      <w:r>
        <w:t>ectively preventing those companies from exporting below certain companyspeci</w:t>
      </w:r>
      <w:r>
        <w:rPr>
          <w:rFonts w:ascii="Calibri" w:eastAsia="Calibri" w:hAnsi="Calibri" w:cs="Calibri"/>
        </w:rPr>
        <w:t>fi</w:t>
      </w:r>
      <w:r>
        <w:t xml:space="preserve">c costs. Japan countered that monitoring measures were not </w:t>
      </w:r>
      <w:r>
        <w:t>restrictions. However, a GATT panel made clear that the formal character of a governmental measure was irrelevant as long as it operated in a manner equivalent to mandatory restrictions.</w:t>
      </w:r>
      <w:r>
        <w:rPr>
          <w:b/>
          <w:vertAlign w:val="superscript"/>
        </w:rPr>
        <w:footnoteReference w:id="162"/>
      </w:r>
      <w:r>
        <w:t xml:space="preserve"> In the Japanese legal culture, even formally non-binding measures i</w:t>
      </w:r>
      <w:r>
        <w:t>mposed by the government were considered and treated as binding. They were, in other words, functionally equivalent.</w:t>
      </w:r>
    </w:p>
    <w:p w:rsidR="007479CF" w:rsidRDefault="00CD28B5">
      <w:pPr>
        <w:pStyle w:val="Heading2"/>
        <w:ind w:left="-5"/>
      </w:pPr>
      <w:r>
        <w:rPr>
          <w:rFonts w:ascii="Calibri" w:eastAsia="Calibri" w:hAnsi="Calibri" w:cs="Calibri"/>
        </w:rPr>
        <w:t></w:t>
      </w:r>
      <w:r>
        <w:t>. The Critical Function: Critique of Legal Orders</w:t>
      </w:r>
    </w:p>
    <w:p w:rsidR="007479CF" w:rsidRDefault="00CD28B5">
      <w:pPr>
        <w:ind w:left="-15" w:right="-6" w:firstLine="0"/>
      </w:pPr>
      <w:r>
        <w:t>This leaves the last proclaimed function of functional analysis, its critical function i</w:t>
      </w:r>
      <w:r>
        <w:t>n various ways: tolerance of foreign law, critique of foreign law, critique of our own law, and critique of law in general. Functionalism does not fare equally well for all of these.</w:t>
      </w:r>
    </w:p>
    <w:p w:rsidR="007479CF" w:rsidRDefault="00CD28B5">
      <w:pPr>
        <w:spacing w:after="339"/>
        <w:ind w:left="-15" w:right="-6"/>
      </w:pPr>
      <w:r>
        <w:t>Functionalist comparative law can overcome a home bias against foreign la</w:t>
      </w:r>
      <w:r>
        <w:t>w.</w:t>
      </w:r>
      <w:r>
        <w:rPr>
          <w:b/>
          <w:vertAlign w:val="superscript"/>
        </w:rPr>
        <w:footnoteReference w:id="163"/>
      </w:r>
      <w:r>
        <w:t>This shows particularly well in the con</w:t>
      </w:r>
      <w:r>
        <w:rPr>
          <w:rFonts w:ascii="Calibri" w:eastAsia="Calibri" w:hAnsi="Calibri" w:cs="Calibri"/>
        </w:rPr>
        <w:t>fl</w:t>
      </w:r>
      <w:r>
        <w:t>ict of laws, in which the question of accepting foreign law gains practical relevance, and functionalist comparison is often applied.</w:t>
      </w:r>
      <w:r>
        <w:rPr>
          <w:b/>
          <w:vertAlign w:val="superscript"/>
        </w:rPr>
        <w:footnoteReference w:id="164"/>
      </w:r>
      <w:r>
        <w:t xml:space="preserve"> The most famous example for functionalism in the con</w:t>
      </w:r>
      <w:r>
        <w:rPr>
          <w:rFonts w:ascii="Calibri" w:eastAsia="Calibri" w:hAnsi="Calibri" w:cs="Calibri"/>
        </w:rPr>
        <w:t>fl</w:t>
      </w:r>
      <w:r>
        <w:t>ict of laws is Rabel’</w:t>
      </w:r>
      <w:r>
        <w:t>s proposal to use functional comparison for the purpose of characterization.</w:t>
      </w:r>
      <w:r>
        <w:rPr>
          <w:b/>
          <w:vertAlign w:val="superscript"/>
        </w:rPr>
        <w:footnoteReference w:id="165"/>
      </w:r>
      <w:r>
        <w:t xml:space="preserve"> Similarly, substitution and adaptation, the (somewhat idiosyncratic) methods of aligning di</w:t>
      </w:r>
      <w:r>
        <w:rPr>
          <w:rFonts w:ascii="Calibri" w:eastAsia="Calibri" w:hAnsi="Calibri" w:cs="Calibri"/>
        </w:rPr>
        <w:t>ff</w:t>
      </w:r>
      <w:r>
        <w:t>erent legal orders, require functional comparison. But the most important use of fun</w:t>
      </w:r>
      <w:r>
        <w:t xml:space="preserve">ctionalist comparisons and functional equivalence concerns the question whether application of foreign law violates the forum’s public policy. The German </w:t>
      </w:r>
      <w:r>
        <w:rPr>
          <w:i/>
        </w:rPr>
        <w:t>Bundesgerichtshof</w:t>
      </w:r>
      <w:r>
        <w:t xml:space="preserve">, holding that a foreign judgment on punitive </w:t>
      </w:r>
      <w:r>
        <w:rPr>
          <w:rFonts w:ascii="Calibri" w:eastAsia="Calibri" w:hAnsi="Calibri" w:cs="Calibri"/>
        </w:rPr>
        <w:t></w:t>
      </w:r>
    </w:p>
    <w:p w:rsidR="007479CF" w:rsidRDefault="00CD28B5">
      <w:pPr>
        <w:ind w:left="-15" w:right="-6" w:firstLine="0"/>
      </w:pPr>
      <w:r>
        <w:t>damages did not automatically viola</w:t>
      </w:r>
      <w:r>
        <w:t>te German public policy, relied on an extensive analysis of the various functions of punitive damages and its German functional equivalents.</w:t>
      </w:r>
      <w:r>
        <w:rPr>
          <w:b/>
          <w:vertAlign w:val="superscript"/>
        </w:rPr>
        <w:footnoteReference w:id="166"/>
      </w:r>
      <w:r>
        <w:t xml:space="preserve"> A Californian Court of Appeal relieved a French company of the requirement that it attain workers’ compensation insurance from a Californian insurer, holding that the manifest function of the requirement—that employers should be adequately insured by a so</w:t>
      </w:r>
      <w:r>
        <w:t>lvent company—could be attained by di</w:t>
      </w:r>
      <w:r>
        <w:rPr>
          <w:rFonts w:ascii="Calibri" w:eastAsia="Calibri" w:hAnsi="Calibri" w:cs="Calibri"/>
        </w:rPr>
        <w:t>ff</w:t>
      </w:r>
      <w:r>
        <w:t>erent means, in this case insurance with a French company.</w:t>
      </w:r>
      <w:r>
        <w:rPr>
          <w:b/>
          <w:vertAlign w:val="superscript"/>
        </w:rPr>
        <w:footnoteReference w:id="167"/>
      </w:r>
      <w:r>
        <w:t xml:space="preserve"> Western courts are now more willing than before to recognize Islamic divorce based on unilateral repudiation because it is functionally equivalent to divorc</w:t>
      </w:r>
      <w:r>
        <w:t>e in Western democracies, which, though nominally consensual, can e</w:t>
      </w:r>
      <w:r>
        <w:rPr>
          <w:rFonts w:ascii="Calibri" w:eastAsia="Calibri" w:hAnsi="Calibri" w:cs="Calibri"/>
        </w:rPr>
        <w:t>ff</w:t>
      </w:r>
      <w:r>
        <w:t>ectively be brought about against or without the will of one of the spouses.</w:t>
      </w:r>
      <w:r>
        <w:rPr>
          <w:b/>
          <w:vertAlign w:val="superscript"/>
        </w:rPr>
        <w:footnoteReference w:id="168"/>
      </w:r>
      <w:r>
        <w:t xml:space="preserve"> Between EU member states, community law restricts the application of mandatory norms of the forum law if the</w:t>
      </w:r>
      <w:r>
        <w:t xml:space="preserve"> foreign law contains functionally equivalent norms.</w:t>
      </w:r>
      <w:r>
        <w:rPr>
          <w:b/>
          <w:vertAlign w:val="superscript"/>
        </w:rPr>
        <w:footnoteReference w:id="169"/>
      </w:r>
      <w:r>
        <w:t xml:space="preserve"> In all these cases, the tolerance for foreign law is brought about by the recognition of functional equivalence.</w:t>
      </w:r>
    </w:p>
    <w:p w:rsidR="007479CF" w:rsidRDefault="00CD28B5">
      <w:pPr>
        <w:ind w:left="-15" w:right="-6"/>
      </w:pPr>
      <w:r>
        <w:t>At the same time, functionalist comparison can aid in critiquing foreign law, especially when a legal system insists on its cultural autonomy. For the sake of plurality and autonomy, critical strands in comparative law often invoke culture against function</w:t>
      </w:r>
      <w:r>
        <w:t>alism. But culture is sometimes invented and sometimes undesirable. Distinguishing ‘good’ from ‘bad’ culture is di</w:t>
      </w:r>
      <w:r>
        <w:rPr>
          <w:rFonts w:ascii="Calibri" w:eastAsia="Calibri" w:hAnsi="Calibri" w:cs="Calibri"/>
        </w:rPr>
        <w:t>ffi</w:t>
      </w:r>
      <w:r>
        <w:t>cult for an insider lacking a critical perspective, as well as for an outsider lacking su</w:t>
      </w:r>
      <w:r>
        <w:rPr>
          <w:rFonts w:ascii="Calibri" w:eastAsia="Calibri" w:hAnsi="Calibri" w:cs="Calibri"/>
        </w:rPr>
        <w:t>ffi</w:t>
      </w:r>
      <w:r>
        <w:t>cient insight. Functionalist comparative law ca</w:t>
      </w:r>
      <w:r>
        <w:t>n be helpful here in preparing the ground for critique, because it combines two important perspectives: awareness of culture on the one hand, and a perspective from outside on the other. By reconstructing legal culture in functional terms, functional compa</w:t>
      </w:r>
      <w:r>
        <w:t>rative law helps preserve the culture’s otherness while making it commensurable with our own law—we see the foreign law’s functions and dysfunctions, both manifest and latent, and we know from comparison how else these e</w:t>
      </w:r>
      <w:r>
        <w:rPr>
          <w:rFonts w:ascii="Calibri" w:eastAsia="Calibri" w:hAnsi="Calibri" w:cs="Calibri"/>
        </w:rPr>
        <w:t>ff</w:t>
      </w:r>
      <w:r>
        <w:t>ects can be brought about. The met</w:t>
      </w:r>
      <w:r>
        <w:t>hod does not provide us with the tools to evaluate the foreign law. But without the groundwork laid by functionalist comparisons, such evaluation is hard to formulate.</w:t>
      </w:r>
    </w:p>
    <w:p w:rsidR="007479CF" w:rsidRDefault="00CD28B5">
      <w:pPr>
        <w:spacing w:after="312"/>
        <w:ind w:left="-15" w:right="-6"/>
      </w:pPr>
      <w:r>
        <w:t>On the other hand, functionalist comparative law helps less in critiquing one’s own law.</w:t>
      </w:r>
      <w:r>
        <w:t xml:space="preserve"> The reason is again functional equivalence: Because we cannot say easily whether a foreign law is better than our own, recognizing di</w:t>
      </w:r>
      <w:r>
        <w:rPr>
          <w:rFonts w:ascii="Calibri" w:eastAsia="Calibri" w:hAnsi="Calibri" w:cs="Calibri"/>
        </w:rPr>
        <w:t>ff</w:t>
      </w:r>
      <w:r>
        <w:t>erent solutions abroad does not show us de</w:t>
      </w:r>
      <w:r>
        <w:rPr>
          <w:rFonts w:ascii="Calibri" w:eastAsia="Calibri" w:hAnsi="Calibri" w:cs="Calibri"/>
        </w:rPr>
        <w:t>fi</w:t>
      </w:r>
      <w:r>
        <w:t xml:space="preserve">ciencies at home. Functionalist comparison can open </w:t>
      </w:r>
      <w:r>
        <w:rPr>
          <w:rFonts w:ascii="Calibri" w:eastAsia="Calibri" w:hAnsi="Calibri" w:cs="Calibri"/>
        </w:rPr>
        <w:t></w:t>
      </w:r>
    </w:p>
    <w:p w:rsidR="007479CF" w:rsidRDefault="00CD28B5">
      <w:pPr>
        <w:ind w:left="-15" w:right="-6" w:firstLine="0"/>
      </w:pPr>
      <w:r>
        <w:t>our eyes to alternat</w:t>
      </w:r>
      <w:r>
        <w:t>ive solutions, but it cannot tell us whether those alternative solutions are better or not. Functionalism can provide us with a view of our own law from the outside, but whether what we thus see is de</w:t>
      </w:r>
      <w:r>
        <w:rPr>
          <w:rFonts w:ascii="Calibri" w:eastAsia="Calibri" w:hAnsi="Calibri" w:cs="Calibri"/>
        </w:rPr>
        <w:t>fi</w:t>
      </w:r>
      <w:r>
        <w:t>cient must be determined by other criteria. Functional</w:t>
      </w:r>
      <w:r>
        <w:t>ism can be critical of doctrinalism by revealing the contingency of any one doctrine, but it cannot show a way towards law without any doctrine, and it cannot itself provide such law.</w:t>
      </w:r>
    </w:p>
    <w:p w:rsidR="007479CF" w:rsidRDefault="00CD28B5">
      <w:pPr>
        <w:spacing w:after="1337"/>
        <w:ind w:left="-15" w:right="-6"/>
      </w:pPr>
      <w:r>
        <w:t>Finally, functionalism is unhelpful in various respects in which critiqu</w:t>
      </w:r>
      <w:r>
        <w:t>e may be desirable. First, functionalism does not help in evaluating functionality and purposes.</w:t>
      </w:r>
      <w:r>
        <w:rPr>
          <w:b/>
          <w:vertAlign w:val="superscript"/>
        </w:rPr>
        <w:footnoteReference w:id="170"/>
      </w:r>
      <w:r>
        <w:t xml:space="preserve"> Quite to the contrary, in showing that other societies pursue the same goals by di</w:t>
      </w:r>
      <w:r>
        <w:rPr>
          <w:rFonts w:ascii="Calibri" w:eastAsia="Calibri" w:hAnsi="Calibri" w:cs="Calibri"/>
        </w:rPr>
        <w:t>ff</w:t>
      </w:r>
      <w:r>
        <w:t>erent means, it may reinforce our conviction that certain purposes are so</w:t>
      </w:r>
      <w:r>
        <w:t>mehow necessary. Second, functionalism does not help us much in a fundamental critique of law. Functionalism may show how other societies ful</w:t>
      </w:r>
      <w:r>
        <w:rPr>
          <w:rFonts w:ascii="Calibri" w:eastAsia="Calibri" w:hAnsi="Calibri" w:cs="Calibri"/>
        </w:rPr>
        <w:t>fi</w:t>
      </w:r>
      <w:r>
        <w:t>l certain needs with other institutions than law, but it cannot provide alternatives to the functionalist thinkin</w:t>
      </w:r>
      <w:r>
        <w:t>g inherent to our thinking about law. Third, with its emphasis on understanding the status quo and on apolitical analysis, functionalist comparative law is of little use for political governance projects.</w:t>
      </w:r>
      <w:r>
        <w:rPr>
          <w:b/>
          <w:vertAlign w:val="superscript"/>
        </w:rPr>
        <w:footnoteReference w:id="171"/>
      </w:r>
      <w:r>
        <w:t xml:space="preserve"> Fourth, because functionalist comparative law pre</w:t>
      </w:r>
      <w:r>
        <w:t>sumes separate societies and separate legal systems as objects of comparison, it is unable to conceptualize the way in which these systems and societies are interdependent and overlap, a growing problem under conditions of globalization. Fifth, functionali</w:t>
      </w:r>
      <w:r>
        <w:t>st comparison is unable to account for tensions within legal systems, at least so long as it focuses on the relations between whole legal systems rather than on legal subsystems. All of these are real shortcomings, not only of the functional method in comp</w:t>
      </w:r>
      <w:r>
        <w:t>arative law, but of traditional comparative law at large, and to this extent critiques of the functional method that are really aimed at mainstream comparative law are justi</w:t>
      </w:r>
      <w:r>
        <w:rPr>
          <w:rFonts w:ascii="Calibri" w:eastAsia="Calibri" w:hAnsi="Calibri" w:cs="Calibri"/>
        </w:rPr>
        <w:t>fi</w:t>
      </w:r>
      <w:r>
        <w:t>ed. But it remains doubtful whether any method of comparative law can fare better</w:t>
      </w:r>
      <w:r>
        <w:t xml:space="preserve"> here.</w:t>
      </w:r>
    </w:p>
    <w:p w:rsidR="007479CF" w:rsidRDefault="00CD28B5">
      <w:pPr>
        <w:pStyle w:val="Heading1"/>
        <w:ind w:right="6"/>
      </w:pPr>
      <w:r>
        <w:t>IV. Conclusion</w:t>
      </w:r>
    </w:p>
    <w:p w:rsidR="007479CF" w:rsidRDefault="00CD28B5">
      <w:pPr>
        <w:spacing w:after="250" w:line="248" w:lineRule="auto"/>
        <w:ind w:left="-15" w:firstLine="0"/>
      </w:pPr>
      <w:r>
        <w:rPr>
          <w:sz w:val="18"/>
        </w:rPr>
        <w:t>...................................................................................................................................................................</w:t>
      </w:r>
    </w:p>
    <w:p w:rsidR="007479CF" w:rsidRDefault="00CD28B5">
      <w:pPr>
        <w:spacing w:after="333"/>
        <w:ind w:left="-15" w:right="-6" w:firstLine="0"/>
      </w:pPr>
      <w:r>
        <w:t>Section III has rendered some surprising results. Generally, one assum</w:t>
      </w:r>
      <w:r>
        <w:t>es that the strength of the functional method lies in its emphasis on similarities, its aspirations towards the evaluation and uni</w:t>
      </w:r>
      <w:r>
        <w:rPr>
          <w:rFonts w:ascii="Calibri" w:eastAsia="Calibri" w:hAnsi="Calibri" w:cs="Calibri"/>
        </w:rPr>
        <w:t>fi</w:t>
      </w:r>
      <w:r>
        <w:t xml:space="preserve">cation of law. This is the main reason why its </w:t>
      </w:r>
      <w:r>
        <w:rPr>
          <w:rFonts w:ascii="Calibri" w:eastAsia="Calibri" w:hAnsi="Calibri" w:cs="Calibri"/>
        </w:rPr>
        <w:t></w:t>
      </w:r>
    </w:p>
    <w:p w:rsidR="007479CF" w:rsidRDefault="00CD28B5">
      <w:pPr>
        <w:ind w:left="-15" w:right="-6" w:firstLine="0"/>
      </w:pPr>
      <w:r>
        <w:t>supporters since Rabel have considered it such a powerful tool, and why o</w:t>
      </w:r>
      <w:r>
        <w:t xml:space="preserve">pponents have felt the need to combat it so </w:t>
      </w:r>
      <w:r>
        <w:rPr>
          <w:rFonts w:ascii="Calibri" w:eastAsia="Calibri" w:hAnsi="Calibri" w:cs="Calibri"/>
        </w:rPr>
        <w:t>fi</w:t>
      </w:r>
      <w:r>
        <w:t>ercely. Yet the discussion has revealed that the functional method emphasizes di</w:t>
      </w:r>
      <w:r>
        <w:rPr>
          <w:rFonts w:ascii="Calibri" w:eastAsia="Calibri" w:hAnsi="Calibri" w:cs="Calibri"/>
        </w:rPr>
        <w:t>ff</w:t>
      </w:r>
      <w:r>
        <w:t>erences within similarity; it does not provide criteria for evaluation; and it supplies powerful arguments against uni</w:t>
      </w:r>
      <w:r>
        <w:rPr>
          <w:rFonts w:ascii="Calibri" w:eastAsia="Calibri" w:hAnsi="Calibri" w:cs="Calibri"/>
        </w:rPr>
        <w:t>fi</w:t>
      </w:r>
      <w:r>
        <w:t xml:space="preserve">cation. </w:t>
      </w:r>
      <w:r>
        <w:t>Further, one generally assumes that the functional method does not account suf</w:t>
      </w:r>
      <w:r>
        <w:rPr>
          <w:rFonts w:ascii="Calibri" w:eastAsia="Calibri" w:hAnsi="Calibri" w:cs="Calibri"/>
        </w:rPr>
        <w:t>fi</w:t>
      </w:r>
      <w:r>
        <w:t>ciently for culture and is reductionist. But as the analysis demonstrates, the functional method not only requires us to look at culture, but it enables us to formulate general</w:t>
      </w:r>
      <w:r>
        <w:t xml:space="preserve"> laws without having to abstract the speci</w:t>
      </w:r>
      <w:r>
        <w:rPr>
          <w:rFonts w:ascii="Calibri" w:eastAsia="Calibri" w:hAnsi="Calibri" w:cs="Calibri"/>
        </w:rPr>
        <w:t>fi</w:t>
      </w:r>
      <w:r>
        <w:t>cities.</w:t>
      </w:r>
    </w:p>
    <w:p w:rsidR="007479CF" w:rsidRDefault="00CD28B5">
      <w:pPr>
        <w:ind w:left="-15" w:right="-6"/>
      </w:pPr>
      <w:r>
        <w:t>These misunderstandings about the utility of the functional method arise because comparatists unknowingly use di</w:t>
      </w:r>
      <w:r>
        <w:rPr>
          <w:rFonts w:ascii="Calibri" w:eastAsia="Calibri" w:hAnsi="Calibri" w:cs="Calibri"/>
        </w:rPr>
        <w:t>ff</w:t>
      </w:r>
      <w:r>
        <w:t>erent concepts of function, as demonstrated in Section II. Because the relation between th</w:t>
      </w:r>
      <w:r>
        <w:t>ese di</w:t>
      </w:r>
      <w:r>
        <w:rPr>
          <w:rFonts w:ascii="Calibri" w:eastAsia="Calibri" w:hAnsi="Calibri" w:cs="Calibri"/>
        </w:rPr>
        <w:t>ff</w:t>
      </w:r>
      <w:r>
        <w:t>erent concepts within the method was unclear, some of the hopes placed in the functional method were unrealistic. Comparatists’ shift from a sociologically inspired to a legally inspired concept of function within the functional method occurs quite</w:t>
      </w:r>
      <w:r>
        <w:t xml:space="preserve"> precisely when they move from description to systematizing and evaluation. A method reconstructed plainly on the basis of functional equivalence as the most robust of the concepts and following a constructive epistemology can make fewer claims in these la</w:t>
      </w:r>
      <w:r>
        <w:t>st four areas; in fact, it can suggest reasons for caution and restraint. At the same time, such a method is less open to some of the criticism levelled against the functional method as an explanatory tool.</w:t>
      </w:r>
    </w:p>
    <w:p w:rsidR="007479CF" w:rsidRDefault="00CD28B5">
      <w:pPr>
        <w:spacing w:after="726"/>
        <w:ind w:left="-15" w:right="-6"/>
      </w:pPr>
      <w:r>
        <w:t>Other disciplines have discarded functionalism on</w:t>
      </w:r>
      <w:r>
        <w:t>ly after utilizing its insights. Functionalist comparative law has not yet made su</w:t>
      </w:r>
      <w:r>
        <w:rPr>
          <w:rFonts w:ascii="Calibri" w:eastAsia="Calibri" w:hAnsi="Calibri" w:cs="Calibri"/>
        </w:rPr>
        <w:t>ffi</w:t>
      </w:r>
      <w:r>
        <w:t>cient use of the bene</w:t>
      </w:r>
      <w:r>
        <w:rPr>
          <w:rFonts w:ascii="Calibri" w:eastAsia="Calibri" w:hAnsi="Calibri" w:cs="Calibri"/>
        </w:rPr>
        <w:t>fi</w:t>
      </w:r>
      <w:r>
        <w:t xml:space="preserve">ts of functionalism. This study can only hint at the possibilities, but its </w:t>
      </w:r>
      <w:r>
        <w:rPr>
          <w:rFonts w:ascii="Calibri" w:eastAsia="Calibri" w:hAnsi="Calibri" w:cs="Calibri"/>
        </w:rPr>
        <w:t>fi</w:t>
      </w:r>
      <w:r>
        <w:t>ndings suggest that a more methodologically aware functionalism will p</w:t>
      </w:r>
      <w:r>
        <w:t>rovide us with better insights into the functioning of law. In addition, functionalism in comparative law may well be immune to some of the criticism voiced against functionalism in the social sciences. After all, law is a normative discipline for which te</w:t>
      </w:r>
      <w:r>
        <w:t>leology may be useful or even necessary. Of course, this requires the construction of a more robust functional method. This chapter proposes to base such a method on equivalence functionalism and on an epistemology of constructive functionalism. Whether su</w:t>
      </w:r>
      <w:r>
        <w:t>ch a method can hold its own—against the uncritical version of functionalism on the one hand, and against the alternatives to functionalism on the other— remains to be seen. But the attempt seems well worth the e</w:t>
      </w:r>
      <w:r>
        <w:rPr>
          <w:rFonts w:ascii="Calibri" w:eastAsia="Calibri" w:hAnsi="Calibri" w:cs="Calibri"/>
        </w:rPr>
        <w:t>ff</w:t>
      </w:r>
      <w:r>
        <w:t>ort.</w:t>
      </w:r>
    </w:p>
    <w:p w:rsidR="007479CF" w:rsidRDefault="00CD28B5">
      <w:pPr>
        <w:pStyle w:val="Heading2"/>
        <w:spacing w:after="0"/>
        <w:ind w:left="0" w:firstLine="0"/>
      </w:pPr>
      <w:r>
        <w:rPr>
          <w:sz w:val="26"/>
        </w:rPr>
        <w:t>B</w:t>
      </w:r>
      <w:r>
        <w:rPr>
          <w:sz w:val="26"/>
        </w:rPr>
        <w:t>ibliography</w:t>
      </w:r>
    </w:p>
    <w:p w:rsidR="007479CF" w:rsidRDefault="00CD28B5">
      <w:pPr>
        <w:spacing w:after="209" w:line="259" w:lineRule="auto"/>
        <w:ind w:firstLine="0"/>
        <w:jc w:val="left"/>
      </w:pPr>
      <w:r>
        <w:rPr>
          <w:rFonts w:ascii="Calibri" w:eastAsia="Calibri" w:hAnsi="Calibri" w:cs="Calibri"/>
          <w:noProof/>
        </w:rPr>
        <mc:AlternateContent>
          <mc:Choice Requires="wpg">
            <w:drawing>
              <wp:inline distT="0" distB="0" distL="0" distR="0">
                <wp:extent cx="4495800" cy="3810"/>
                <wp:effectExtent l="0" t="0" r="0" b="0"/>
                <wp:docPr id="64976" name="Group 64976"/>
                <wp:cNvGraphicFramePr/>
                <a:graphic xmlns:a="http://schemas.openxmlformats.org/drawingml/2006/main">
                  <a:graphicData uri="http://schemas.microsoft.com/office/word/2010/wordprocessingGroup">
                    <wpg:wgp>
                      <wpg:cNvGrpSpPr/>
                      <wpg:grpSpPr>
                        <a:xfrm>
                          <a:off x="0" y="0"/>
                          <a:ext cx="4495800" cy="3810"/>
                          <a:chOff x="0" y="0"/>
                          <a:chExt cx="4495800" cy="3810"/>
                        </a:xfrm>
                      </wpg:grpSpPr>
                      <wps:wsp>
                        <wps:cNvPr id="10414" name="Shape 10414"/>
                        <wps:cNvSpPr/>
                        <wps:spPr>
                          <a:xfrm>
                            <a:off x="0" y="0"/>
                            <a:ext cx="4495800" cy="0"/>
                          </a:xfrm>
                          <a:custGeom>
                            <a:avLst/>
                            <a:gdLst/>
                            <a:ahLst/>
                            <a:cxnLst/>
                            <a:rect l="0" t="0" r="0" b="0"/>
                            <a:pathLst>
                              <a:path w="4495800">
                                <a:moveTo>
                                  <a:pt x="0" y="0"/>
                                </a:moveTo>
                                <a:lnTo>
                                  <a:pt x="44958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976" style="width:354pt;height:0.3pt;mso-position-horizontal-relative:char;mso-position-vertical-relative:line" coordsize="44958,38">
                <v:shape id="Shape 10414" style="position:absolute;width:44958;height:0;left:0;top:0;" coordsize="4495800,0" path="m0,0l4495800,0">
                  <v:stroke weight="0.3pt" endcap="flat" joinstyle="miter" miterlimit="10" on="true" color="#000000"/>
                  <v:fill on="false" color="#000000" opacity="0"/>
                </v:shape>
              </v:group>
            </w:pict>
          </mc:Fallback>
        </mc:AlternateContent>
      </w:r>
    </w:p>
    <w:p w:rsidR="007479CF" w:rsidRDefault="00CD28B5">
      <w:pPr>
        <w:spacing w:line="251" w:lineRule="auto"/>
        <w:ind w:left="-5" w:hanging="10"/>
        <w:jc w:val="left"/>
      </w:pPr>
      <w:r>
        <w:rPr>
          <w:sz w:val="20"/>
        </w:rPr>
        <w:t xml:space="preserve">Émile Durkheim, </w:t>
      </w:r>
      <w:r>
        <w:rPr>
          <w:i/>
          <w:sz w:val="20"/>
        </w:rPr>
        <w:t>Les règles de la méthode sociologique</w:t>
      </w:r>
      <w:r>
        <w:rPr>
          <w:sz w:val="20"/>
        </w:rPr>
        <w:t xml:space="preserve"> (</w:t>
      </w:r>
      <w:r>
        <w:rPr>
          <w:rFonts w:ascii="Calibri" w:eastAsia="Calibri" w:hAnsi="Calibri" w:cs="Calibri"/>
          <w:sz w:val="20"/>
        </w:rPr>
        <w:t></w:t>
      </w:r>
      <w:r>
        <w:rPr>
          <w:sz w:val="20"/>
        </w:rPr>
        <w:t xml:space="preserve">, </w:t>
      </w:r>
      <w:r>
        <w:rPr>
          <w:rFonts w:ascii="Calibri" w:eastAsia="Calibri" w:hAnsi="Calibri" w:cs="Calibri"/>
          <w:sz w:val="20"/>
        </w:rPr>
        <w:t></w:t>
      </w:r>
      <w:r>
        <w:rPr>
          <w:sz w:val="20"/>
        </w:rPr>
        <w:t xml:space="preserve">th edn </w:t>
      </w:r>
      <w:r>
        <w:rPr>
          <w:rFonts w:ascii="Calibri" w:eastAsia="Calibri" w:hAnsi="Calibri" w:cs="Calibri"/>
          <w:sz w:val="20"/>
        </w:rPr>
        <w:t></w:t>
      </w:r>
      <w:r>
        <w:rPr>
          <w:sz w:val="20"/>
        </w:rPr>
        <w:t>)</w:t>
      </w:r>
    </w:p>
    <w:p w:rsidR="007479CF" w:rsidRDefault="00CD28B5">
      <w:pPr>
        <w:spacing w:line="251" w:lineRule="auto"/>
        <w:ind w:left="-5" w:hanging="10"/>
        <w:jc w:val="left"/>
      </w:pPr>
      <w:r>
        <w:rPr>
          <w:sz w:val="20"/>
        </w:rPr>
        <w:t xml:space="preserve">Ernst Cassirer, </w:t>
      </w:r>
      <w:r>
        <w:rPr>
          <w:i/>
          <w:sz w:val="20"/>
        </w:rPr>
        <w:t>Substanzbegri</w:t>
      </w:r>
      <w:r>
        <w:rPr>
          <w:rFonts w:ascii="Calibri" w:eastAsia="Calibri" w:hAnsi="Calibri" w:cs="Calibri"/>
          <w:i/>
          <w:sz w:val="20"/>
        </w:rPr>
        <w:t>ff</w:t>
      </w:r>
      <w:r>
        <w:rPr>
          <w:i/>
          <w:sz w:val="20"/>
        </w:rPr>
        <w:t xml:space="preserve"> und Funktionsbegri</w:t>
      </w:r>
      <w:r>
        <w:rPr>
          <w:rFonts w:ascii="Calibri" w:eastAsia="Calibri" w:hAnsi="Calibri" w:cs="Calibri"/>
          <w:i/>
          <w:sz w:val="20"/>
        </w:rPr>
        <w:t>ff</w:t>
      </w:r>
      <w:r>
        <w:rPr>
          <w:sz w:val="20"/>
        </w:rPr>
        <w:t xml:space="preserve"> (</w:t>
      </w:r>
      <w:r>
        <w:rPr>
          <w:rFonts w:ascii="Calibri" w:eastAsia="Calibri" w:hAnsi="Calibri" w:cs="Calibri"/>
          <w:sz w:val="20"/>
        </w:rPr>
        <w:t></w:t>
      </w:r>
      <w:r>
        <w:rPr>
          <w:sz w:val="20"/>
        </w:rPr>
        <w:t>)</w:t>
      </w:r>
    </w:p>
    <w:p w:rsidR="007479CF" w:rsidRDefault="00CD28B5">
      <w:pPr>
        <w:spacing w:line="251" w:lineRule="auto"/>
        <w:ind w:left="195" w:hanging="210"/>
      </w:pPr>
      <w:r>
        <w:rPr>
          <w:sz w:val="20"/>
        </w:rPr>
        <w:t>Ernst Rabel, ‘Aufgabe und Notwendigkeit der Rechtsvergleichung’, (</w:t>
      </w:r>
      <w:r>
        <w:rPr>
          <w:rFonts w:ascii="Calibri" w:eastAsia="Calibri" w:hAnsi="Calibri" w:cs="Calibri"/>
          <w:sz w:val="20"/>
        </w:rPr>
        <w:t></w:t>
      </w:r>
      <w:r>
        <w:rPr>
          <w:sz w:val="20"/>
        </w:rPr>
        <w:t xml:space="preserve">) </w:t>
      </w:r>
      <w:r>
        <w:rPr>
          <w:rFonts w:ascii="Calibri" w:eastAsia="Calibri" w:hAnsi="Calibri" w:cs="Calibri"/>
          <w:sz w:val="20"/>
        </w:rPr>
        <w:t></w:t>
      </w:r>
      <w:r>
        <w:rPr>
          <w:sz w:val="20"/>
        </w:rPr>
        <w:t xml:space="preserve"> </w:t>
      </w:r>
      <w:r>
        <w:rPr>
          <w:i/>
          <w:sz w:val="20"/>
        </w:rPr>
        <w:t>Rheinische Zeitschrift für Zivil- und Prozeßre</w:t>
      </w:r>
      <w:r>
        <w:rPr>
          <w:i/>
          <w:sz w:val="20"/>
        </w:rPr>
        <w:t>cht</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r>
        <w:rPr>
          <w:sz w:val="20"/>
        </w:rPr>
        <w:t>; reprinted in Hans G. Leser (ed), Ernst</w:t>
      </w:r>
    </w:p>
    <w:p w:rsidR="007479CF" w:rsidRDefault="00CD28B5">
      <w:pPr>
        <w:spacing w:line="251" w:lineRule="auto"/>
        <w:ind w:left="200" w:firstLine="0"/>
      </w:pPr>
      <w:r>
        <w:rPr>
          <w:sz w:val="20"/>
        </w:rPr>
        <w:t xml:space="preserve">Rabel, </w:t>
      </w:r>
      <w:r>
        <w:rPr>
          <w:i/>
          <w:sz w:val="20"/>
        </w:rPr>
        <w:t>Gesammelte Aufsätze</w:t>
      </w:r>
      <w:r>
        <w:rPr>
          <w:sz w:val="20"/>
        </w:rPr>
        <w:t xml:space="preserve"> (vol III, </w:t>
      </w:r>
      <w:r>
        <w:rPr>
          <w:rFonts w:ascii="Calibri" w:eastAsia="Calibri" w:hAnsi="Calibri" w:cs="Calibri"/>
          <w:sz w:val="20"/>
        </w:rPr>
        <w:t></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pStyle w:val="Heading3"/>
        <w:ind w:left="-5"/>
      </w:pPr>
      <w:r>
        <w:t></w:t>
      </w:r>
    </w:p>
    <w:p w:rsidR="007479CF" w:rsidRDefault="00CD28B5">
      <w:pPr>
        <w:spacing w:line="251" w:lineRule="auto"/>
        <w:ind w:left="-15" w:firstLine="0"/>
      </w:pPr>
      <w:r>
        <w:rPr>
          <w:sz w:val="20"/>
        </w:rPr>
        <w:t>Max Rheinstein, ‘Teaching Comparative Law’, (</w:t>
      </w:r>
      <w:r>
        <w:rPr>
          <w:rFonts w:ascii="Calibri" w:eastAsia="Calibri" w:hAnsi="Calibri" w:cs="Calibri"/>
          <w:sz w:val="20"/>
        </w:rPr>
        <w:t></w:t>
      </w:r>
      <w:r>
        <w:rPr>
          <w:sz w:val="20"/>
        </w:rPr>
        <w:t>–</w:t>
      </w:r>
      <w:r>
        <w:rPr>
          <w:rFonts w:ascii="Calibri" w:eastAsia="Calibri" w:hAnsi="Calibri" w:cs="Calibri"/>
          <w:sz w:val="20"/>
        </w:rPr>
        <w:t></w:t>
      </w:r>
      <w:r>
        <w:rPr>
          <w:sz w:val="20"/>
        </w:rPr>
        <w:t xml:space="preserve">) </w:t>
      </w:r>
      <w:r>
        <w:rPr>
          <w:rFonts w:ascii="Calibri" w:eastAsia="Calibri" w:hAnsi="Calibri" w:cs="Calibri"/>
          <w:sz w:val="20"/>
        </w:rPr>
        <w:t></w:t>
      </w:r>
      <w:r>
        <w:rPr>
          <w:sz w:val="20"/>
        </w:rPr>
        <w:t xml:space="preserve"> </w:t>
      </w:r>
      <w:r>
        <w:rPr>
          <w:i/>
          <w:sz w:val="20"/>
        </w:rPr>
        <w:t>University of Chicago LR</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95" w:hanging="210"/>
      </w:pPr>
      <w:r>
        <w:rPr>
          <w:sz w:val="20"/>
        </w:rPr>
        <w:t>Josef Esser, ‘Universale Prinzipien als Basis der Funktionsvergl</w:t>
      </w:r>
      <w:r>
        <w:rPr>
          <w:sz w:val="20"/>
        </w:rPr>
        <w:t xml:space="preserve">eichung von Privatrechtsinstituten’, chapter </w:t>
      </w:r>
      <w:r>
        <w:rPr>
          <w:rFonts w:ascii="Calibri" w:eastAsia="Calibri" w:hAnsi="Calibri" w:cs="Calibri"/>
          <w:sz w:val="20"/>
        </w:rPr>
        <w:t></w:t>
      </w:r>
      <w:r>
        <w:rPr>
          <w:sz w:val="20"/>
        </w:rPr>
        <w:t xml:space="preserve"> of </w:t>
      </w:r>
      <w:r>
        <w:rPr>
          <w:i/>
          <w:sz w:val="20"/>
        </w:rPr>
        <w:t xml:space="preserve">Grundsatz und Norm in der richterlichen Fortbildung des Privatrechts </w:t>
      </w:r>
      <w:r>
        <w:rPr>
          <w:sz w:val="20"/>
        </w:rPr>
        <w:t>(</w:t>
      </w:r>
      <w:r>
        <w:rPr>
          <w:rFonts w:ascii="Calibri" w:eastAsia="Calibri" w:hAnsi="Calibri" w:cs="Calibri"/>
          <w:sz w:val="20"/>
        </w:rPr>
        <w:t></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5" w:firstLine="0"/>
      </w:pPr>
      <w:r>
        <w:rPr>
          <w:sz w:val="20"/>
        </w:rPr>
        <w:t>Niklas Luhmann, ‘Funktion und Kausalität’, (</w:t>
      </w:r>
      <w:r>
        <w:rPr>
          <w:rFonts w:ascii="Calibri" w:eastAsia="Calibri" w:hAnsi="Calibri" w:cs="Calibri"/>
          <w:sz w:val="20"/>
        </w:rPr>
        <w:t></w:t>
      </w:r>
      <w:r>
        <w:rPr>
          <w:sz w:val="20"/>
        </w:rPr>
        <w:t xml:space="preserve">) </w:t>
      </w:r>
      <w:r>
        <w:rPr>
          <w:rFonts w:ascii="Calibri" w:eastAsia="Calibri" w:hAnsi="Calibri" w:cs="Calibri"/>
          <w:sz w:val="20"/>
        </w:rPr>
        <w:t></w:t>
      </w:r>
      <w:r>
        <w:rPr>
          <w:sz w:val="20"/>
        </w:rPr>
        <w:t xml:space="preserve"> </w:t>
      </w:r>
      <w:r>
        <w:rPr>
          <w:i/>
          <w:sz w:val="20"/>
        </w:rPr>
        <w:t>Kölner Zeitschrift für Soziologie und</w:t>
      </w:r>
    </w:p>
    <w:p w:rsidR="007479CF" w:rsidRDefault="00CD28B5">
      <w:pPr>
        <w:spacing w:line="251" w:lineRule="auto"/>
        <w:ind w:left="210" w:hanging="10"/>
        <w:jc w:val="left"/>
      </w:pPr>
      <w:r>
        <w:rPr>
          <w:i/>
          <w:sz w:val="20"/>
        </w:rPr>
        <w:t>Sozialpsychologie</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r>
        <w:rPr>
          <w:sz w:val="20"/>
        </w:rPr>
        <w:t xml:space="preserve">; reprinted in </w:t>
      </w:r>
      <w:r>
        <w:rPr>
          <w:i/>
          <w:sz w:val="20"/>
        </w:rPr>
        <w:t>idem, Soziologische Aufklärung</w:t>
      </w:r>
      <w:r>
        <w:rPr>
          <w:sz w:val="20"/>
        </w:rPr>
        <w:t xml:space="preserve"> (vol I, </w:t>
      </w:r>
      <w:r>
        <w:rPr>
          <w:rFonts w:ascii="Calibri" w:eastAsia="Calibri" w:hAnsi="Calibri" w:cs="Calibri"/>
          <w:sz w:val="20"/>
        </w:rPr>
        <w:t></w:t>
      </w:r>
      <w:r>
        <w:rPr>
          <w:sz w:val="20"/>
        </w:rPr>
        <w:t xml:space="preserve">th edn, </w:t>
      </w:r>
      <w:r>
        <w:rPr>
          <w:rFonts w:ascii="Calibri" w:eastAsia="Calibri" w:hAnsi="Calibri" w:cs="Calibri"/>
          <w:sz w:val="20"/>
        </w:rPr>
        <w:t></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95" w:hanging="210"/>
      </w:pPr>
      <w:r>
        <w:rPr>
          <w:sz w:val="20"/>
        </w:rPr>
        <w:t xml:space="preserve">Robert K. Merton, ‘Manifest and Latent Functions’, in </w:t>
      </w:r>
      <w:r>
        <w:rPr>
          <w:i/>
          <w:sz w:val="20"/>
        </w:rPr>
        <w:t>idem, Social Theory and Social Culture</w:t>
      </w:r>
      <w:r>
        <w:rPr>
          <w:sz w:val="20"/>
        </w:rPr>
        <w:t xml:space="preserve"> (enlarged edn, </w:t>
      </w:r>
      <w:r>
        <w:rPr>
          <w:rFonts w:ascii="Calibri" w:eastAsia="Calibri" w:hAnsi="Calibri" w:cs="Calibri"/>
          <w:sz w:val="20"/>
        </w:rPr>
        <w:t></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95" w:hanging="210"/>
      </w:pPr>
      <w:r>
        <w:rPr>
          <w:sz w:val="20"/>
        </w:rPr>
        <w:t>Niklas Luhmann, ‘Funktionale Methode und juristische Entsch</w:t>
      </w:r>
      <w:r>
        <w:rPr>
          <w:sz w:val="20"/>
        </w:rPr>
        <w:t>eidung’, (</w:t>
      </w:r>
      <w:r>
        <w:rPr>
          <w:rFonts w:ascii="Calibri" w:eastAsia="Calibri" w:hAnsi="Calibri" w:cs="Calibri"/>
          <w:sz w:val="20"/>
        </w:rPr>
        <w:t></w:t>
      </w:r>
      <w:r>
        <w:rPr>
          <w:sz w:val="20"/>
        </w:rPr>
        <w:t xml:space="preserve">) </w:t>
      </w:r>
      <w:r>
        <w:rPr>
          <w:rFonts w:ascii="Calibri" w:eastAsia="Calibri" w:hAnsi="Calibri" w:cs="Calibri"/>
          <w:sz w:val="20"/>
        </w:rPr>
        <w:t></w:t>
      </w:r>
      <w:r>
        <w:rPr>
          <w:sz w:val="20"/>
        </w:rPr>
        <w:t xml:space="preserve"> </w:t>
      </w:r>
      <w:r>
        <w:rPr>
          <w:i/>
          <w:sz w:val="20"/>
        </w:rPr>
        <w:t>Archiv für ö</w:t>
      </w:r>
      <w:r>
        <w:rPr>
          <w:rFonts w:ascii="Calibri" w:eastAsia="Calibri" w:hAnsi="Calibri" w:cs="Calibri"/>
          <w:i/>
          <w:sz w:val="20"/>
        </w:rPr>
        <w:t>ff</w:t>
      </w:r>
      <w:r>
        <w:rPr>
          <w:i/>
          <w:sz w:val="20"/>
        </w:rPr>
        <w:t>entliches Recht</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r>
        <w:rPr>
          <w:sz w:val="20"/>
        </w:rPr>
        <w:t xml:space="preserve">; reprinted in </w:t>
      </w:r>
      <w:r>
        <w:rPr>
          <w:i/>
          <w:sz w:val="20"/>
        </w:rPr>
        <w:t>idem, Ausdi</w:t>
      </w:r>
      <w:r>
        <w:rPr>
          <w:rFonts w:ascii="Calibri" w:eastAsia="Calibri" w:hAnsi="Calibri" w:cs="Calibri"/>
          <w:i/>
          <w:sz w:val="20"/>
        </w:rPr>
        <w:t>ff</w:t>
      </w:r>
      <w:r>
        <w:rPr>
          <w:i/>
          <w:sz w:val="20"/>
        </w:rPr>
        <w:t>erenzierung des Rechts</w:t>
      </w:r>
      <w:r>
        <w:rPr>
          <w:sz w:val="20"/>
        </w:rPr>
        <w:t xml:space="preserve"> (paperback edn, </w:t>
      </w:r>
      <w:r>
        <w:rPr>
          <w:rFonts w:ascii="Calibri" w:eastAsia="Calibri" w:hAnsi="Calibri" w:cs="Calibri"/>
          <w:sz w:val="20"/>
        </w:rPr>
        <w:t></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95" w:hanging="210"/>
      </w:pPr>
      <w:r>
        <w:rPr>
          <w:sz w:val="20"/>
        </w:rPr>
        <w:t xml:space="preserve">Konrad Zweigert and Hein Kötz, </w:t>
      </w:r>
      <w:r>
        <w:rPr>
          <w:i/>
          <w:sz w:val="20"/>
        </w:rPr>
        <w:t>Einführung in die Rechtsvergleichung</w:t>
      </w:r>
      <w:r>
        <w:rPr>
          <w:sz w:val="20"/>
        </w:rPr>
        <w:t xml:space="preserve"> (</w:t>
      </w:r>
      <w:r>
        <w:rPr>
          <w:rFonts w:ascii="Calibri" w:eastAsia="Calibri" w:hAnsi="Calibri" w:cs="Calibri"/>
          <w:sz w:val="20"/>
        </w:rPr>
        <w:t></w:t>
      </w:r>
      <w:r>
        <w:rPr>
          <w:sz w:val="20"/>
        </w:rPr>
        <w:t xml:space="preserve">st edn, </w:t>
      </w:r>
      <w:r>
        <w:rPr>
          <w:rFonts w:ascii="Calibri" w:eastAsia="Calibri" w:hAnsi="Calibri" w:cs="Calibri"/>
          <w:sz w:val="20"/>
        </w:rPr>
        <w:t></w:t>
      </w:r>
      <w:r>
        <w:rPr>
          <w:sz w:val="20"/>
        </w:rPr>
        <w:t>–</w:t>
      </w:r>
      <w:r>
        <w:rPr>
          <w:rFonts w:ascii="Calibri" w:eastAsia="Calibri" w:hAnsi="Calibri" w:cs="Calibri"/>
          <w:sz w:val="20"/>
        </w:rPr>
        <w:t></w:t>
      </w:r>
      <w:r>
        <w:rPr>
          <w:sz w:val="20"/>
        </w:rPr>
        <w:t xml:space="preserve">, </w:t>
      </w:r>
      <w:r>
        <w:rPr>
          <w:rFonts w:ascii="Calibri" w:eastAsia="Calibri" w:hAnsi="Calibri" w:cs="Calibri"/>
          <w:sz w:val="20"/>
        </w:rPr>
        <w:t></w:t>
      </w:r>
      <w:r>
        <w:rPr>
          <w:sz w:val="20"/>
        </w:rPr>
        <w:t xml:space="preserve">rd edn, </w:t>
      </w:r>
      <w:r>
        <w:rPr>
          <w:rFonts w:ascii="Calibri" w:eastAsia="Calibri" w:hAnsi="Calibri" w:cs="Calibri"/>
          <w:sz w:val="20"/>
        </w:rPr>
        <w:t></w:t>
      </w:r>
      <w:r>
        <w:rPr>
          <w:sz w:val="20"/>
        </w:rPr>
        <w:t>; English translation</w:t>
      </w:r>
      <w:r>
        <w:rPr>
          <w:sz w:val="20"/>
        </w:rPr>
        <w:t xml:space="preserve"> under the title </w:t>
      </w:r>
      <w:r>
        <w:rPr>
          <w:i/>
          <w:sz w:val="20"/>
        </w:rPr>
        <w:t>An Introduction to Comparative Law</w:t>
      </w:r>
      <w:r>
        <w:rPr>
          <w:sz w:val="20"/>
        </w:rPr>
        <w:t xml:space="preserve"> by Tony Weir, </w:t>
      </w:r>
      <w:r>
        <w:rPr>
          <w:rFonts w:ascii="Calibri" w:eastAsia="Calibri" w:hAnsi="Calibri" w:cs="Calibri"/>
          <w:sz w:val="20"/>
        </w:rPr>
        <w:t></w:t>
      </w:r>
      <w:r>
        <w:rPr>
          <w:sz w:val="20"/>
        </w:rPr>
        <w:t xml:space="preserve">rd edn, </w:t>
      </w:r>
      <w:r>
        <w:rPr>
          <w:rFonts w:ascii="Calibri" w:eastAsia="Calibri" w:hAnsi="Calibri" w:cs="Calibri"/>
          <w:sz w:val="20"/>
        </w:rPr>
        <w:t></w:t>
      </w:r>
      <w:r>
        <w:rPr>
          <w:sz w:val="20"/>
        </w:rPr>
        <w:t>)</w:t>
      </w:r>
    </w:p>
    <w:p w:rsidR="007479CF" w:rsidRDefault="00CD28B5">
      <w:pPr>
        <w:spacing w:line="251" w:lineRule="auto"/>
        <w:ind w:left="-15" w:firstLine="0"/>
      </w:pPr>
      <w:r>
        <w:rPr>
          <w:sz w:val="20"/>
        </w:rPr>
        <w:t>Volkmar Gessner, ‘Soziologische Überlegungen zu einer Theorie der angewandten</w:t>
      </w:r>
    </w:p>
    <w:p w:rsidR="007479CF" w:rsidRDefault="00CD28B5">
      <w:pPr>
        <w:spacing w:line="251" w:lineRule="auto"/>
        <w:ind w:left="200" w:firstLine="0"/>
      </w:pPr>
      <w:r>
        <w:rPr>
          <w:sz w:val="20"/>
        </w:rPr>
        <w:t>Rechtsvergleichung’, (</w:t>
      </w:r>
      <w:r>
        <w:rPr>
          <w:rFonts w:ascii="Calibri" w:eastAsia="Calibri" w:hAnsi="Calibri" w:cs="Calibri"/>
          <w:sz w:val="20"/>
        </w:rPr>
        <w:t></w:t>
      </w:r>
      <w:r>
        <w:rPr>
          <w:sz w:val="20"/>
        </w:rPr>
        <w:t xml:space="preserve">) </w:t>
      </w:r>
      <w:r>
        <w:rPr>
          <w:rFonts w:ascii="Calibri" w:eastAsia="Calibri" w:hAnsi="Calibri" w:cs="Calibri"/>
          <w:sz w:val="20"/>
        </w:rPr>
        <w:t></w:t>
      </w:r>
      <w:r>
        <w:rPr>
          <w:sz w:val="20"/>
        </w:rPr>
        <w:t xml:space="preserve"> </w:t>
      </w:r>
      <w:r>
        <w:rPr>
          <w:i/>
          <w:sz w:val="20"/>
        </w:rPr>
        <w:t>RabelsZ</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5" w:firstLine="0"/>
      </w:pPr>
      <w:r>
        <w:rPr>
          <w:sz w:val="20"/>
        </w:rPr>
        <w:t>Robert W. Gordon, ‘Critical Legal Histories’, (</w:t>
      </w:r>
      <w:r>
        <w:rPr>
          <w:rFonts w:ascii="Calibri" w:eastAsia="Calibri" w:hAnsi="Calibri" w:cs="Calibri"/>
          <w:sz w:val="20"/>
        </w:rPr>
        <w:t></w:t>
      </w:r>
      <w:r>
        <w:rPr>
          <w:sz w:val="20"/>
        </w:rPr>
        <w:t xml:space="preserve">) </w:t>
      </w:r>
      <w:r>
        <w:rPr>
          <w:rFonts w:ascii="Calibri" w:eastAsia="Calibri" w:hAnsi="Calibri" w:cs="Calibri"/>
          <w:sz w:val="20"/>
        </w:rPr>
        <w:t></w:t>
      </w:r>
      <w:r>
        <w:rPr>
          <w:sz w:val="20"/>
        </w:rPr>
        <w:t xml:space="preserve"> </w:t>
      </w:r>
      <w:r>
        <w:rPr>
          <w:i/>
          <w:sz w:val="20"/>
        </w:rPr>
        <w:t>Stanford LR</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95" w:hanging="210"/>
      </w:pPr>
      <w:r>
        <w:rPr>
          <w:sz w:val="20"/>
        </w:rPr>
        <w:t>Günter Frankenberg, ‘Critical Comparisons: Re-thinking Comparative Law’, (</w:t>
      </w:r>
      <w:r>
        <w:rPr>
          <w:rFonts w:ascii="Calibri" w:eastAsia="Calibri" w:hAnsi="Calibri" w:cs="Calibri"/>
          <w:sz w:val="20"/>
        </w:rPr>
        <w:t></w:t>
      </w:r>
      <w:r>
        <w:rPr>
          <w:sz w:val="20"/>
        </w:rPr>
        <w:t xml:space="preserve">) </w:t>
      </w:r>
      <w:r>
        <w:rPr>
          <w:rFonts w:ascii="Calibri" w:eastAsia="Calibri" w:hAnsi="Calibri" w:cs="Calibri"/>
          <w:sz w:val="20"/>
        </w:rPr>
        <w:t xml:space="preserve"> </w:t>
      </w:r>
      <w:r>
        <w:rPr>
          <w:i/>
          <w:sz w:val="20"/>
        </w:rPr>
        <w:t>Harvard International LJ</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95" w:hanging="210"/>
      </w:pPr>
      <w:r>
        <w:rPr>
          <w:sz w:val="20"/>
        </w:rPr>
        <w:t>Kirsten Scheiwe, ‘</w:t>
      </w:r>
      <w:r>
        <w:rPr>
          <w:sz w:val="20"/>
        </w:rPr>
        <w:t>Was ist ein funktionales Äquivalent in der Rechtsvergleichung? Eine Diskussion an Hand von Beispielen aus dem Familien- und Sozialrecht’, (</w:t>
      </w:r>
      <w:r>
        <w:rPr>
          <w:rFonts w:ascii="Calibri" w:eastAsia="Calibri" w:hAnsi="Calibri" w:cs="Calibri"/>
          <w:sz w:val="20"/>
        </w:rPr>
        <w:t></w:t>
      </w:r>
      <w:r>
        <w:rPr>
          <w:sz w:val="20"/>
        </w:rPr>
        <w:t xml:space="preserve">) </w:t>
      </w:r>
      <w:r>
        <w:rPr>
          <w:rFonts w:ascii="Calibri" w:eastAsia="Calibri" w:hAnsi="Calibri" w:cs="Calibri"/>
          <w:sz w:val="20"/>
        </w:rPr>
        <w:t xml:space="preserve"> </w:t>
      </w:r>
      <w:r>
        <w:rPr>
          <w:i/>
          <w:sz w:val="20"/>
        </w:rPr>
        <w:t>Kritische Vierteljahresschrift für Gesetzgebung und Rechtswissenschaft</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95" w:hanging="210"/>
      </w:pPr>
      <w:r>
        <w:rPr>
          <w:sz w:val="20"/>
        </w:rPr>
        <w:t>Jaakko Husa, ‘Farewell to Funct</w:t>
      </w:r>
      <w:r>
        <w:rPr>
          <w:sz w:val="20"/>
        </w:rPr>
        <w:t>ionalism or Methodological Tolerance?’, (</w:t>
      </w:r>
      <w:r>
        <w:rPr>
          <w:rFonts w:ascii="Calibri" w:eastAsia="Calibri" w:hAnsi="Calibri" w:cs="Calibri"/>
          <w:sz w:val="20"/>
        </w:rPr>
        <w:t></w:t>
      </w:r>
      <w:r>
        <w:rPr>
          <w:sz w:val="20"/>
        </w:rPr>
        <w:t xml:space="preserve">) </w:t>
      </w:r>
      <w:r>
        <w:rPr>
          <w:rFonts w:ascii="Calibri" w:eastAsia="Calibri" w:hAnsi="Calibri" w:cs="Calibri"/>
          <w:sz w:val="20"/>
        </w:rPr>
        <w:t></w:t>
      </w:r>
      <w:r>
        <w:rPr>
          <w:sz w:val="20"/>
        </w:rPr>
        <w:t xml:space="preserve"> </w:t>
      </w:r>
      <w:r>
        <w:rPr>
          <w:i/>
          <w:sz w:val="20"/>
        </w:rPr>
        <w:t xml:space="preserve">RabelsZ </w:t>
      </w:r>
      <w:r>
        <w:rPr>
          <w:rFonts w:ascii="Calibri" w:eastAsia="Calibri" w:hAnsi="Calibri" w:cs="Calibri"/>
          <w:sz w:val="20"/>
        </w:rPr>
        <w:t></w:t>
      </w:r>
      <w:r>
        <w:rPr>
          <w:sz w:val="20"/>
        </w:rPr>
        <w:t>–</w:t>
      </w:r>
      <w:r>
        <w:rPr>
          <w:rFonts w:ascii="Calibri" w:eastAsia="Calibri" w:hAnsi="Calibri" w:cs="Calibri"/>
          <w:sz w:val="20"/>
        </w:rPr>
        <w:t></w:t>
      </w:r>
    </w:p>
    <w:p w:rsidR="007479CF" w:rsidRDefault="00CD28B5">
      <w:pPr>
        <w:spacing w:line="251" w:lineRule="auto"/>
        <w:ind w:left="-15" w:firstLine="0"/>
      </w:pPr>
      <w:r>
        <w:rPr>
          <w:sz w:val="20"/>
        </w:rPr>
        <w:t>Michele Graziadei, ‘The Functionalist Heritage’, in Pierre Legrand and Roderick Munday</w:t>
      </w:r>
    </w:p>
    <w:p w:rsidR="007479CF" w:rsidRDefault="00CD28B5">
      <w:pPr>
        <w:spacing w:line="251" w:lineRule="auto"/>
        <w:ind w:left="210" w:hanging="10"/>
        <w:jc w:val="left"/>
      </w:pPr>
      <w:r>
        <w:rPr>
          <w:sz w:val="20"/>
        </w:rPr>
        <w:t xml:space="preserve">(eds), </w:t>
      </w:r>
      <w:r>
        <w:rPr>
          <w:i/>
          <w:sz w:val="20"/>
        </w:rPr>
        <w:t>Comparative Legal Studies: Traditions and Transitions</w:t>
      </w:r>
      <w:r>
        <w:rPr>
          <w:sz w:val="20"/>
        </w:rPr>
        <w:t xml:space="preserve"> (</w:t>
      </w:r>
      <w:r>
        <w:rPr>
          <w:rFonts w:ascii="Calibri" w:eastAsia="Calibri" w:hAnsi="Calibri" w:cs="Calibri"/>
          <w:sz w:val="20"/>
        </w:rPr>
        <w:t></w:t>
      </w:r>
      <w:r>
        <w:rPr>
          <w:sz w:val="20"/>
        </w:rPr>
        <w:t xml:space="preserve">), </w:t>
      </w:r>
      <w:r>
        <w:rPr>
          <w:rFonts w:ascii="Calibri" w:eastAsia="Calibri" w:hAnsi="Calibri" w:cs="Calibri"/>
          <w:sz w:val="20"/>
        </w:rPr>
        <w:t></w:t>
      </w:r>
      <w:r>
        <w:rPr>
          <w:sz w:val="20"/>
        </w:rPr>
        <w:t>–</w:t>
      </w:r>
      <w:r>
        <w:rPr>
          <w:rFonts w:ascii="Calibri" w:eastAsia="Calibri" w:hAnsi="Calibri" w:cs="Calibri"/>
          <w:sz w:val="20"/>
        </w:rPr>
        <w:t></w:t>
      </w:r>
    </w:p>
    <w:sectPr w:rsidR="007479CF">
      <w:headerReference w:type="even" r:id="rId7"/>
      <w:headerReference w:type="default" r:id="rId8"/>
      <w:footerReference w:type="even" r:id="rId9"/>
      <w:footerReference w:type="default" r:id="rId10"/>
      <w:headerReference w:type="first" r:id="rId11"/>
      <w:footerReference w:type="first" r:id="rId12"/>
      <w:pgSz w:w="11400" w:h="15660"/>
      <w:pgMar w:top="1530" w:right="2260" w:bottom="2206" w:left="2051" w:header="211" w:footer="2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28B5" w:rsidRDefault="00CD28B5">
      <w:pPr>
        <w:spacing w:after="0" w:line="240" w:lineRule="auto"/>
      </w:pPr>
      <w:r>
        <w:separator/>
      </w:r>
    </w:p>
  </w:endnote>
  <w:endnote w:type="continuationSeparator" w:id="0">
    <w:p w:rsidR="00CD28B5" w:rsidRDefault="00CD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79CF" w:rsidRDefault="00CD28B5">
    <w:pPr>
      <w:spacing w:after="0" w:line="259" w:lineRule="auto"/>
      <w:ind w:left="-2051" w:right="914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127381</wp:posOffset>
              </wp:positionH>
              <wp:positionV relativeFrom="page">
                <wp:posOffset>9407195</wp:posOffset>
              </wp:positionV>
              <wp:extent cx="409575" cy="409575"/>
              <wp:effectExtent l="0" t="0" r="0" b="0"/>
              <wp:wrapSquare wrapText="bothSides"/>
              <wp:docPr id="65565" name="Group 65565"/>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66" name="Shape 65566"/>
                      <wps:cNvSpPr/>
                      <wps:spPr>
                        <a:xfrm>
                          <a:off x="409575" y="104775"/>
                          <a:ext cx="0" cy="304800"/>
                        </a:xfrm>
                        <a:custGeom>
                          <a:avLst/>
                          <a:gdLst/>
                          <a:ahLst/>
                          <a:cxnLst/>
                          <a:rect l="0" t="0" r="0" b="0"/>
                          <a:pathLst>
                            <a:path h="304800">
                              <a:moveTo>
                                <a:pt x="0" y="0"/>
                              </a:moveTo>
                              <a:lnTo>
                                <a:pt x="0" y="3048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67" name="Shape 65567"/>
                      <wps:cNvSpPr/>
                      <wps:spPr>
                        <a:xfrm>
                          <a:off x="0" y="0"/>
                          <a:ext cx="304800" cy="0"/>
                        </a:xfrm>
                        <a:custGeom>
                          <a:avLst/>
                          <a:gdLst/>
                          <a:ahLst/>
                          <a:cxnLst/>
                          <a:rect l="0" t="0" r="0" b="0"/>
                          <a:pathLst>
                            <a:path w="304800">
                              <a:moveTo>
                                <a:pt x="304800"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65" style="width:32.25pt;height:32.25pt;position:absolute;mso-position-horizontal-relative:page;mso-position-horizontal:absolute;margin-left:10.03pt;mso-position-vertical-relative:page;margin-top:740.724pt;" coordsize="4095,4095">
              <v:shape id="Shape 65566" style="position:absolute;width:0;height:3048;left:4095;top:1047;" coordsize="0,304800" path="m0,0l0,304800">
                <v:stroke weight="0.5pt" endcap="flat" joinstyle="miter" miterlimit="10" on="true" color="#000000"/>
                <v:fill on="false" color="#000000" opacity="0"/>
              </v:shape>
              <v:shape id="Shape 65567" style="position:absolute;width:3048;height:0;left:0;top:0;" coordsize="304800,0" path="m304800,0l0,0">
                <v:stroke weight="0.5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6700076</wp:posOffset>
              </wp:positionH>
              <wp:positionV relativeFrom="page">
                <wp:posOffset>9407195</wp:posOffset>
              </wp:positionV>
              <wp:extent cx="409575" cy="409575"/>
              <wp:effectExtent l="0" t="0" r="0" b="0"/>
              <wp:wrapSquare wrapText="bothSides"/>
              <wp:docPr id="65568" name="Group 65568"/>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69" name="Shape 65569"/>
                      <wps:cNvSpPr/>
                      <wps:spPr>
                        <a:xfrm>
                          <a:off x="0" y="104775"/>
                          <a:ext cx="0" cy="304800"/>
                        </a:xfrm>
                        <a:custGeom>
                          <a:avLst/>
                          <a:gdLst/>
                          <a:ahLst/>
                          <a:cxnLst/>
                          <a:rect l="0" t="0" r="0" b="0"/>
                          <a:pathLst>
                            <a:path h="304800">
                              <a:moveTo>
                                <a:pt x="0" y="0"/>
                              </a:moveTo>
                              <a:lnTo>
                                <a:pt x="0" y="3048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70" name="Shape 65570"/>
                      <wps:cNvSpPr/>
                      <wps:spPr>
                        <a:xfrm>
                          <a:off x="104775" y="0"/>
                          <a:ext cx="304800" cy="0"/>
                        </a:xfrm>
                        <a:custGeom>
                          <a:avLst/>
                          <a:gdLst/>
                          <a:ahLst/>
                          <a:cxnLst/>
                          <a:rect l="0" t="0" r="0" b="0"/>
                          <a:pathLst>
                            <a:path w="304800">
                              <a:moveTo>
                                <a:pt x="0" y="0"/>
                              </a:moveTo>
                              <a:lnTo>
                                <a:pt x="304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68" style="width:32.25pt;height:32.25pt;position:absolute;mso-position-horizontal-relative:page;mso-position-horizontal:absolute;margin-left:527.565pt;mso-position-vertical-relative:page;margin-top:740.724pt;" coordsize="4095,4095">
              <v:shape id="Shape 65569" style="position:absolute;width:0;height:3048;left:0;top:1047;" coordsize="0,304800" path="m0,0l0,304800">
                <v:stroke weight="0.5pt" endcap="flat" joinstyle="miter" miterlimit="10" on="true" color="#000000"/>
                <v:fill on="false" color="#000000" opacity="0"/>
              </v:shape>
              <v:shape id="Shape 65570" style="position:absolute;width:3048;height:0;left:1047;top:0;" coordsize="304800,0" path="m0,0l304800,0">
                <v:stroke weight="0.5pt" endcap="flat" joinstyle="miter" miterlimit="10"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79CF" w:rsidRDefault="00CD28B5">
    <w:pPr>
      <w:spacing w:after="0" w:line="259" w:lineRule="auto"/>
      <w:ind w:left="-2051" w:right="914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127381</wp:posOffset>
              </wp:positionH>
              <wp:positionV relativeFrom="page">
                <wp:posOffset>9407195</wp:posOffset>
              </wp:positionV>
              <wp:extent cx="409575" cy="409575"/>
              <wp:effectExtent l="0" t="0" r="0" b="0"/>
              <wp:wrapSquare wrapText="bothSides"/>
              <wp:docPr id="65541" name="Group 65541"/>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42" name="Shape 65542"/>
                      <wps:cNvSpPr/>
                      <wps:spPr>
                        <a:xfrm>
                          <a:off x="409575" y="104775"/>
                          <a:ext cx="0" cy="304800"/>
                        </a:xfrm>
                        <a:custGeom>
                          <a:avLst/>
                          <a:gdLst/>
                          <a:ahLst/>
                          <a:cxnLst/>
                          <a:rect l="0" t="0" r="0" b="0"/>
                          <a:pathLst>
                            <a:path h="304800">
                              <a:moveTo>
                                <a:pt x="0" y="0"/>
                              </a:moveTo>
                              <a:lnTo>
                                <a:pt x="0" y="3048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43" name="Shape 65543"/>
                      <wps:cNvSpPr/>
                      <wps:spPr>
                        <a:xfrm>
                          <a:off x="0" y="0"/>
                          <a:ext cx="304800" cy="0"/>
                        </a:xfrm>
                        <a:custGeom>
                          <a:avLst/>
                          <a:gdLst/>
                          <a:ahLst/>
                          <a:cxnLst/>
                          <a:rect l="0" t="0" r="0" b="0"/>
                          <a:pathLst>
                            <a:path w="304800">
                              <a:moveTo>
                                <a:pt x="304800"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41" style="width:32.25pt;height:32.25pt;position:absolute;mso-position-horizontal-relative:page;mso-position-horizontal:absolute;margin-left:10.03pt;mso-position-vertical-relative:page;margin-top:740.724pt;" coordsize="4095,4095">
              <v:shape id="Shape 65542" style="position:absolute;width:0;height:3048;left:4095;top:1047;" coordsize="0,304800" path="m0,0l0,304800">
                <v:stroke weight="0.5pt" endcap="flat" joinstyle="miter" miterlimit="10" on="true" color="#000000"/>
                <v:fill on="false" color="#000000" opacity="0"/>
              </v:shape>
              <v:shape id="Shape 65543" style="position:absolute;width:3048;height:0;left:0;top:0;" coordsize="304800,0" path="m304800,0l0,0">
                <v:stroke weight="0.5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6700076</wp:posOffset>
              </wp:positionH>
              <wp:positionV relativeFrom="page">
                <wp:posOffset>9407195</wp:posOffset>
              </wp:positionV>
              <wp:extent cx="409575" cy="409575"/>
              <wp:effectExtent l="0" t="0" r="0" b="0"/>
              <wp:wrapSquare wrapText="bothSides"/>
              <wp:docPr id="65544" name="Group 65544"/>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45" name="Shape 65545"/>
                      <wps:cNvSpPr/>
                      <wps:spPr>
                        <a:xfrm>
                          <a:off x="0" y="104775"/>
                          <a:ext cx="0" cy="304800"/>
                        </a:xfrm>
                        <a:custGeom>
                          <a:avLst/>
                          <a:gdLst/>
                          <a:ahLst/>
                          <a:cxnLst/>
                          <a:rect l="0" t="0" r="0" b="0"/>
                          <a:pathLst>
                            <a:path h="304800">
                              <a:moveTo>
                                <a:pt x="0" y="0"/>
                              </a:moveTo>
                              <a:lnTo>
                                <a:pt x="0" y="3048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46" name="Shape 65546"/>
                      <wps:cNvSpPr/>
                      <wps:spPr>
                        <a:xfrm>
                          <a:off x="104775" y="0"/>
                          <a:ext cx="304800" cy="0"/>
                        </a:xfrm>
                        <a:custGeom>
                          <a:avLst/>
                          <a:gdLst/>
                          <a:ahLst/>
                          <a:cxnLst/>
                          <a:rect l="0" t="0" r="0" b="0"/>
                          <a:pathLst>
                            <a:path w="304800">
                              <a:moveTo>
                                <a:pt x="0" y="0"/>
                              </a:moveTo>
                              <a:lnTo>
                                <a:pt x="304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44" style="width:32.25pt;height:32.25pt;position:absolute;mso-position-horizontal-relative:page;mso-position-horizontal:absolute;margin-left:527.565pt;mso-position-vertical-relative:page;margin-top:740.724pt;" coordsize="4095,4095">
              <v:shape id="Shape 65545" style="position:absolute;width:0;height:3048;left:0;top:1047;" coordsize="0,304800" path="m0,0l0,304800">
                <v:stroke weight="0.5pt" endcap="flat" joinstyle="miter" miterlimit="10" on="true" color="#000000"/>
                <v:fill on="false" color="#000000" opacity="0"/>
              </v:shape>
              <v:shape id="Shape 65546" style="position:absolute;width:3048;height:0;left:1047;top:0;" coordsize="304800,0" path="m0,0l304800,0">
                <v:stroke weight="0.5pt" endcap="flat" joinstyle="miter" miterlimit="10" on="true" color="#000000"/>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79CF" w:rsidRDefault="00CD28B5">
    <w:pPr>
      <w:spacing w:after="0" w:line="259" w:lineRule="auto"/>
      <w:ind w:left="-2051" w:right="9140"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127381</wp:posOffset>
              </wp:positionH>
              <wp:positionV relativeFrom="page">
                <wp:posOffset>9407195</wp:posOffset>
              </wp:positionV>
              <wp:extent cx="409575" cy="409575"/>
              <wp:effectExtent l="0" t="0" r="0" b="0"/>
              <wp:wrapSquare wrapText="bothSides"/>
              <wp:docPr id="65517" name="Group 65517"/>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18" name="Shape 65518"/>
                      <wps:cNvSpPr/>
                      <wps:spPr>
                        <a:xfrm>
                          <a:off x="409575" y="104775"/>
                          <a:ext cx="0" cy="304800"/>
                        </a:xfrm>
                        <a:custGeom>
                          <a:avLst/>
                          <a:gdLst/>
                          <a:ahLst/>
                          <a:cxnLst/>
                          <a:rect l="0" t="0" r="0" b="0"/>
                          <a:pathLst>
                            <a:path h="304800">
                              <a:moveTo>
                                <a:pt x="0" y="0"/>
                              </a:moveTo>
                              <a:lnTo>
                                <a:pt x="0" y="3048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19" name="Shape 65519"/>
                      <wps:cNvSpPr/>
                      <wps:spPr>
                        <a:xfrm>
                          <a:off x="0" y="0"/>
                          <a:ext cx="304800" cy="0"/>
                        </a:xfrm>
                        <a:custGeom>
                          <a:avLst/>
                          <a:gdLst/>
                          <a:ahLst/>
                          <a:cxnLst/>
                          <a:rect l="0" t="0" r="0" b="0"/>
                          <a:pathLst>
                            <a:path w="304800">
                              <a:moveTo>
                                <a:pt x="304800"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17" style="width:32.25pt;height:32.25pt;position:absolute;mso-position-horizontal-relative:page;mso-position-horizontal:absolute;margin-left:10.03pt;mso-position-vertical-relative:page;margin-top:740.724pt;" coordsize="4095,4095">
              <v:shape id="Shape 65518" style="position:absolute;width:0;height:3048;left:4095;top:1047;" coordsize="0,304800" path="m0,0l0,304800">
                <v:stroke weight="0.5pt" endcap="flat" joinstyle="miter" miterlimit="10" on="true" color="#000000"/>
                <v:fill on="false" color="#000000" opacity="0"/>
              </v:shape>
              <v:shape id="Shape 65519" style="position:absolute;width:3048;height:0;left:0;top:0;" coordsize="304800,0" path="m304800,0l0,0">
                <v:stroke weight="0.5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6700076</wp:posOffset>
              </wp:positionH>
              <wp:positionV relativeFrom="page">
                <wp:posOffset>9407195</wp:posOffset>
              </wp:positionV>
              <wp:extent cx="409575" cy="409575"/>
              <wp:effectExtent l="0" t="0" r="0" b="0"/>
              <wp:wrapSquare wrapText="bothSides"/>
              <wp:docPr id="65520" name="Group 65520"/>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21" name="Shape 65521"/>
                      <wps:cNvSpPr/>
                      <wps:spPr>
                        <a:xfrm>
                          <a:off x="0" y="104775"/>
                          <a:ext cx="0" cy="304800"/>
                        </a:xfrm>
                        <a:custGeom>
                          <a:avLst/>
                          <a:gdLst/>
                          <a:ahLst/>
                          <a:cxnLst/>
                          <a:rect l="0" t="0" r="0" b="0"/>
                          <a:pathLst>
                            <a:path h="304800">
                              <a:moveTo>
                                <a:pt x="0" y="0"/>
                              </a:moveTo>
                              <a:lnTo>
                                <a:pt x="0" y="30480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22" name="Shape 65522"/>
                      <wps:cNvSpPr/>
                      <wps:spPr>
                        <a:xfrm>
                          <a:off x="104775" y="0"/>
                          <a:ext cx="304800" cy="0"/>
                        </a:xfrm>
                        <a:custGeom>
                          <a:avLst/>
                          <a:gdLst/>
                          <a:ahLst/>
                          <a:cxnLst/>
                          <a:rect l="0" t="0" r="0" b="0"/>
                          <a:pathLst>
                            <a:path w="304800">
                              <a:moveTo>
                                <a:pt x="0" y="0"/>
                              </a:moveTo>
                              <a:lnTo>
                                <a:pt x="304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20" style="width:32.25pt;height:32.25pt;position:absolute;mso-position-horizontal-relative:page;mso-position-horizontal:absolute;margin-left:527.565pt;mso-position-vertical-relative:page;margin-top:740.724pt;" coordsize="4095,4095">
              <v:shape id="Shape 65521" style="position:absolute;width:0;height:3048;left:0;top:1047;" coordsize="0,304800" path="m0,0l0,304800">
                <v:stroke weight="0.5pt" endcap="flat" joinstyle="miter" miterlimit="10" on="true" color="#000000"/>
                <v:fill on="false" color="#000000" opacity="0"/>
              </v:shape>
              <v:shape id="Shape 65522" style="position:absolute;width:3048;height:0;left:1047;top:0;" coordsize="304800,0" path="m0,0l304800,0">
                <v:stroke weight="0.5pt" endcap="flat" joinstyle="miter" miterlimit="10" on="true" color="#000000"/>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28B5" w:rsidRDefault="00CD28B5">
      <w:pPr>
        <w:spacing w:after="0" w:line="245" w:lineRule="auto"/>
        <w:ind w:right="1" w:firstLine="175"/>
      </w:pPr>
      <w:r>
        <w:separator/>
      </w:r>
    </w:p>
  </w:footnote>
  <w:footnote w:type="continuationSeparator" w:id="0">
    <w:p w:rsidR="00CD28B5" w:rsidRDefault="00CD28B5">
      <w:pPr>
        <w:spacing w:after="0" w:line="245" w:lineRule="auto"/>
        <w:ind w:right="1" w:firstLine="175"/>
      </w:pPr>
      <w:r>
        <w:continuationSeparator/>
      </w:r>
    </w:p>
  </w:footnote>
  <w:footnote w:id="1">
    <w:p w:rsidR="007479CF" w:rsidRDefault="00CD28B5">
      <w:pPr>
        <w:pStyle w:val="footnotedescription"/>
        <w:spacing w:line="245" w:lineRule="auto"/>
        <w:ind w:right="1"/>
      </w:pPr>
      <w:r>
        <w:rPr>
          <w:rStyle w:val="footnotemark"/>
        </w:rPr>
        <w:footnoteRef/>
      </w:r>
      <w:r>
        <w:t xml:space="preserve"> See, eg, for the United States, John Reitz, ‘How to do Comparative Law’,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Mathias Reimann, ‘The Progress and Failure of Comparative Law in the Second Half of the Twentieth Century’,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 xml:space="preserve">, </w:t>
      </w:r>
      <w:r>
        <w:rPr>
          <w:rFonts w:ascii="Calibri" w:eastAsia="Calibri" w:hAnsi="Calibri" w:cs="Calibri"/>
        </w:rPr>
        <w:t xml:space="preserve"> </w:t>
      </w:r>
      <w:r>
        <w:t xml:space="preserve">f; for France, Marc Ancel, </w:t>
      </w:r>
      <w:r>
        <w:rPr>
          <w:i/>
        </w:rPr>
        <w:t>Utilité et méthodes de droit comparé</w:t>
      </w:r>
      <w:r>
        <w:t xml:space="preserve"> (</w:t>
      </w:r>
      <w:r>
        <w:rPr>
          <w:rFonts w:ascii="Calibri" w:eastAsia="Calibri" w:hAnsi="Calibri" w:cs="Calibri"/>
        </w:rPr>
        <w:t></w:t>
      </w:r>
      <w:r>
        <w:t xml:space="preserve">), </w:t>
      </w:r>
      <w:r>
        <w:rPr>
          <w:rFonts w:ascii="Calibri" w:eastAsia="Calibri" w:hAnsi="Calibri" w:cs="Calibri"/>
        </w:rPr>
        <w:t xml:space="preserve"> </w:t>
      </w:r>
      <w:r>
        <w:t xml:space="preserve">f, </w:t>
      </w:r>
      <w:r>
        <w:rPr>
          <w:rFonts w:ascii="Calibri" w:eastAsia="Calibri" w:hAnsi="Calibri" w:cs="Calibri"/>
        </w:rPr>
        <w:t></w:t>
      </w:r>
      <w:r>
        <w:t>–</w:t>
      </w:r>
      <w:r>
        <w:rPr>
          <w:rFonts w:ascii="Calibri" w:eastAsia="Calibri" w:hAnsi="Calibri" w:cs="Calibri"/>
        </w:rPr>
        <w:t></w:t>
      </w:r>
      <w:r>
        <w:t xml:space="preserve">; </w:t>
      </w:r>
      <w:r>
        <w:rPr>
          <w:i/>
        </w:rPr>
        <w:t>idem</w:t>
      </w:r>
      <w:r>
        <w:t>, ‘Le problème de la comparabilit</w:t>
      </w:r>
      <w:r>
        <w:t xml:space="preserve">é et la méthode fonctionnelle en droit comparé’, in </w:t>
      </w:r>
      <w:r>
        <w:rPr>
          <w:i/>
        </w:rPr>
        <w:t>Festschrift für Imre Zajtay</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for England, Hugh Collins, ‘Methods and Aims of Comparative Contract Law’, (</w:t>
      </w:r>
      <w:r>
        <w:rPr>
          <w:rFonts w:ascii="Calibri" w:eastAsia="Calibri" w:hAnsi="Calibri" w:cs="Calibri"/>
        </w:rPr>
        <w:t></w:t>
      </w:r>
      <w:r>
        <w:t xml:space="preserve">) </w:t>
      </w:r>
      <w:r>
        <w:rPr>
          <w:rFonts w:ascii="Calibri" w:eastAsia="Calibri" w:hAnsi="Calibri" w:cs="Calibri"/>
        </w:rPr>
        <w:t></w:t>
      </w:r>
      <w:r>
        <w:t xml:space="preserve"> </w:t>
      </w:r>
      <w:r>
        <w:rPr>
          <w:i/>
        </w:rPr>
        <w:t>Oxford Journal of Legal Studies</w:t>
      </w:r>
      <w:r>
        <w:t xml:space="preserve"> </w:t>
      </w:r>
      <w:r>
        <w:rPr>
          <w:rFonts w:ascii="Calibri" w:eastAsia="Calibri" w:hAnsi="Calibri" w:cs="Calibri"/>
        </w:rPr>
        <w:t></w:t>
      </w:r>
      <w:r>
        <w:t>–</w:t>
      </w:r>
      <w:r>
        <w:rPr>
          <w:rFonts w:ascii="Calibri" w:eastAsia="Calibri" w:hAnsi="Calibri" w:cs="Calibri"/>
        </w:rPr>
        <w:t></w:t>
      </w:r>
      <w:r>
        <w:t xml:space="preserve">; Peter de Cruz, </w:t>
      </w:r>
      <w:r>
        <w:rPr>
          <w:i/>
        </w:rPr>
        <w:t>Comparative Law in a C</w:t>
      </w:r>
      <w:r>
        <w:rPr>
          <w:i/>
        </w:rPr>
        <w:t>hanging World</w:t>
      </w:r>
      <w:r>
        <w:t xml:space="preserve"> (</w:t>
      </w:r>
      <w:r>
        <w:rPr>
          <w:rFonts w:ascii="Calibri" w:eastAsia="Calibri" w:hAnsi="Calibri" w:cs="Calibri"/>
        </w:rPr>
        <w:t></w:t>
      </w:r>
      <w:r>
        <w:t xml:space="preserve">nd edn, </w:t>
      </w:r>
      <w:r>
        <w:rPr>
          <w:rFonts w:ascii="Calibri" w:eastAsia="Calibri" w:hAnsi="Calibri" w:cs="Calibri"/>
        </w:rPr>
        <w:t></w:t>
      </w:r>
      <w:r>
        <w:t xml:space="preserve">), </w:t>
      </w:r>
      <w:r>
        <w:rPr>
          <w:rFonts w:ascii="Calibri" w:eastAsia="Calibri" w:hAnsi="Calibri" w:cs="Calibri"/>
        </w:rPr>
        <w:t> ff</w:t>
      </w:r>
      <w:r>
        <w:t>; for Germany, Hein Kötz, ‘Comparative Law in Germany Today’, (</w:t>
      </w:r>
      <w:r>
        <w:rPr>
          <w:rFonts w:ascii="Calibri" w:eastAsia="Calibri" w:hAnsi="Calibri" w:cs="Calibri"/>
        </w:rPr>
        <w:t></w:t>
      </w:r>
      <w:r>
        <w:t xml:space="preserve">) </w:t>
      </w:r>
      <w:r>
        <w:rPr>
          <w:rFonts w:ascii="Calibri" w:eastAsia="Calibri" w:hAnsi="Calibri" w:cs="Calibri"/>
        </w:rPr>
        <w:t></w:t>
      </w:r>
      <w:r>
        <w:t xml:space="preserve"> </w:t>
      </w:r>
      <w:r>
        <w:rPr>
          <w:i/>
        </w:rPr>
        <w:t>RIDC</w:t>
      </w:r>
      <w:r>
        <w:t xml:space="preserve"> </w:t>
      </w:r>
      <w:r>
        <w:rPr>
          <w:rFonts w:ascii="Calibri" w:eastAsia="Calibri" w:hAnsi="Calibri" w:cs="Calibri"/>
        </w:rPr>
        <w:t></w:t>
      </w:r>
      <w:r>
        <w:t xml:space="preserve">, </w:t>
      </w:r>
      <w:r>
        <w:rPr>
          <w:rFonts w:ascii="Calibri" w:eastAsia="Calibri" w:hAnsi="Calibri" w:cs="Calibri"/>
        </w:rPr>
        <w:t xml:space="preserve"> </w:t>
      </w:r>
      <w:r>
        <w:t xml:space="preserve">f; for Scandinavia, Michael Bogdan, </w:t>
      </w:r>
      <w:r>
        <w:rPr>
          <w:i/>
        </w:rPr>
        <w:t xml:space="preserve">Comparative Law </w:t>
      </w:r>
      <w:r>
        <w:t>(</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for a socialist perspective, Imre Szabó, ‘Theoretical Questions of</w:t>
      </w:r>
      <w:r>
        <w:t xml:space="preserve"> Comparative Law’, in Imre Szabó and Zoltán Péteri (eds), </w:t>
      </w:r>
      <w:r>
        <w:rPr>
          <w:i/>
        </w:rPr>
        <w:t>A Socialist Approach to Comparative Law</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for rise and fall in Italy, Pier Giuseppe Monateri, ‘Critique et di</w:t>
      </w:r>
      <w:r>
        <w:rPr>
          <w:rFonts w:ascii="Calibri" w:eastAsia="Calibri" w:hAnsi="Calibri" w:cs="Calibri"/>
        </w:rPr>
        <w:t>ff</w:t>
      </w:r>
      <w:r>
        <w:t>érence: Le droit comparé en Italie’, (</w:t>
      </w:r>
      <w:r>
        <w:rPr>
          <w:rFonts w:ascii="Calibri" w:eastAsia="Calibri" w:hAnsi="Calibri" w:cs="Calibri"/>
        </w:rPr>
        <w:t></w:t>
      </w:r>
      <w:r>
        <w:t xml:space="preserve">) </w:t>
      </w:r>
      <w:r>
        <w:rPr>
          <w:rFonts w:ascii="Calibri" w:eastAsia="Calibri" w:hAnsi="Calibri" w:cs="Calibri"/>
        </w:rPr>
        <w:t xml:space="preserve"> </w:t>
      </w:r>
      <w:r>
        <w:rPr>
          <w:i/>
        </w:rPr>
        <w:t>RIDC</w:t>
      </w:r>
      <w:r>
        <w:t xml:space="preserve"> </w:t>
      </w:r>
      <w:r>
        <w:rPr>
          <w:rFonts w:ascii="Calibri" w:eastAsia="Calibri" w:hAnsi="Calibri" w:cs="Calibri"/>
        </w:rPr>
        <w:t></w:t>
      </w:r>
      <w:r>
        <w:t xml:space="preserve">, </w:t>
      </w:r>
      <w:r>
        <w:rPr>
          <w:rFonts w:ascii="Calibri" w:eastAsia="Calibri" w:hAnsi="Calibri" w:cs="Calibri"/>
        </w:rPr>
        <w:t xml:space="preserve"> </w:t>
      </w:r>
      <w:r>
        <w:t>f.</w:t>
      </w:r>
    </w:p>
  </w:footnote>
  <w:footnote w:id="2">
    <w:p w:rsidR="007479CF" w:rsidRDefault="00CD28B5">
      <w:pPr>
        <w:pStyle w:val="footnotedescription"/>
        <w:spacing w:line="246" w:lineRule="auto"/>
        <w:ind w:right="1"/>
      </w:pPr>
      <w:r>
        <w:rPr>
          <w:rStyle w:val="footnotemark"/>
        </w:rPr>
        <w:footnoteRef/>
      </w:r>
      <w:r>
        <w:t xml:space="preserve"> Konrad Zweigert and Hein Kötz, </w:t>
      </w:r>
      <w:r>
        <w:rPr>
          <w:i/>
        </w:rPr>
        <w:t>An Introduction to Comparative Law</w:t>
      </w:r>
      <w:r>
        <w:t xml:space="preserve"> (trans Tony Weir, </w:t>
      </w:r>
      <w:r>
        <w:rPr>
          <w:rFonts w:ascii="Calibri" w:eastAsia="Calibri" w:hAnsi="Calibri" w:cs="Calibri"/>
        </w:rPr>
        <w:t></w:t>
      </w:r>
      <w:r>
        <w:t xml:space="preserve">rd edn,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w:t>
      </w:r>
      <w:r>
        <w:rPr>
          <w:rFonts w:ascii="Calibri" w:eastAsia="Calibri" w:hAnsi="Calibri" w:cs="Calibri"/>
        </w:rPr>
        <w:t>fi</w:t>
      </w:r>
      <w:r>
        <w:t xml:space="preserve">rst published in </w:t>
      </w:r>
      <w:r>
        <w:rPr>
          <w:i/>
        </w:rPr>
        <w:t>Einführung in die Rechtsvergleichung</w:t>
      </w:r>
      <w:r>
        <w:t xml:space="preserve"> (vol I,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Konra</w:t>
      </w:r>
      <w:r>
        <w:t>d Zweigert, ‘Methodological Problems in Comparative Law’, (</w:t>
      </w:r>
      <w:r>
        <w:rPr>
          <w:rFonts w:ascii="Calibri" w:eastAsia="Calibri" w:hAnsi="Calibri" w:cs="Calibri"/>
        </w:rPr>
        <w:t></w:t>
      </w:r>
      <w:r>
        <w:t xml:space="preserve">) </w:t>
      </w:r>
      <w:r>
        <w:rPr>
          <w:rFonts w:ascii="Calibri" w:eastAsia="Calibri" w:hAnsi="Calibri" w:cs="Calibri"/>
        </w:rPr>
        <w:t></w:t>
      </w:r>
      <w:r>
        <w:t xml:space="preserve"> </w:t>
      </w:r>
      <w:r>
        <w:rPr>
          <w:i/>
        </w:rPr>
        <w:t>Israel LR</w:t>
      </w:r>
      <w:r>
        <w:t xml:space="preserve"> </w:t>
      </w:r>
      <w:r>
        <w:rPr>
          <w:rFonts w:ascii="Calibri" w:eastAsia="Calibri" w:hAnsi="Calibri" w:cs="Calibri"/>
        </w:rPr>
        <w:t></w:t>
      </w:r>
      <w:r>
        <w:t>–</w:t>
      </w:r>
      <w:r>
        <w:rPr>
          <w:rFonts w:ascii="Calibri" w:eastAsia="Calibri" w:hAnsi="Calibri" w:cs="Calibri"/>
        </w:rPr>
        <w:t></w:t>
      </w:r>
      <w:r>
        <w:t xml:space="preserve">. Earlier versions are Konrad Zweigert, ‘Méthodologie du droit comparé’, in </w:t>
      </w:r>
      <w:r>
        <w:rPr>
          <w:i/>
        </w:rPr>
        <w:t>Mélanges o</w:t>
      </w:r>
      <w:r>
        <w:rPr>
          <w:rFonts w:ascii="Calibri" w:eastAsia="Calibri" w:hAnsi="Calibri" w:cs="Calibri"/>
          <w:i/>
        </w:rPr>
        <w:t>ff</w:t>
      </w:r>
      <w:r>
        <w:rPr>
          <w:i/>
        </w:rPr>
        <w:t>erts à Jacques Maury</w:t>
      </w:r>
      <w:r>
        <w:t xml:space="preserve"> (vol I,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w:t>
      </w:r>
      <w:r>
        <w:rPr>
          <w:rFonts w:ascii="Segoe UI Symbol" w:eastAsia="Segoe UI Symbol" w:hAnsi="Segoe UI Symbol" w:cs="Segoe UI Symbol"/>
        </w:rPr>
        <w:t>=</w:t>
      </w:r>
      <w:r>
        <w:t xml:space="preserve"> ‘Zur Methode der Rechtsvergleichung’, (</w:t>
      </w:r>
      <w:r>
        <w:rPr>
          <w:rFonts w:ascii="Calibri" w:eastAsia="Calibri" w:hAnsi="Calibri" w:cs="Calibri"/>
        </w:rPr>
        <w:t></w:t>
      </w:r>
      <w:r>
        <w:rPr>
          <w:rFonts w:ascii="Calibri" w:eastAsia="Calibri" w:hAnsi="Calibri" w:cs="Calibri"/>
        </w:rPr>
        <w:t></w:t>
      </w:r>
      <w:r>
        <w:t xml:space="preserve">) </w:t>
      </w:r>
      <w:r>
        <w:rPr>
          <w:rFonts w:ascii="Calibri" w:eastAsia="Calibri" w:hAnsi="Calibri" w:cs="Calibri"/>
        </w:rPr>
        <w:t></w:t>
      </w:r>
      <w:r>
        <w:t xml:space="preserve"> </w:t>
      </w:r>
      <w:r>
        <w:rPr>
          <w:i/>
        </w:rPr>
        <w:t>Studium Generale—Zeitschrift für die Einheit der Wissenschaften im Zusammenhang ihrer Begri</w:t>
      </w:r>
      <w:r>
        <w:rPr>
          <w:rFonts w:ascii="Calibri" w:eastAsia="Calibri" w:hAnsi="Calibri" w:cs="Calibri"/>
          <w:i/>
        </w:rPr>
        <w:t>ff</w:t>
      </w:r>
      <w:r>
        <w:rPr>
          <w:i/>
        </w:rPr>
        <w:t>sbildung und Forschungsmethoden</w:t>
      </w:r>
      <w:r>
        <w:t xml:space="preserve"> </w:t>
      </w:r>
      <w:r>
        <w:rPr>
          <w:rFonts w:ascii="Calibri" w:eastAsia="Calibri" w:hAnsi="Calibri" w:cs="Calibri"/>
        </w:rPr>
        <w:t></w:t>
      </w:r>
      <w:r>
        <w:t>–</w:t>
      </w:r>
      <w:r>
        <w:rPr>
          <w:rFonts w:ascii="Calibri" w:eastAsia="Calibri" w:hAnsi="Calibri" w:cs="Calibri"/>
        </w:rPr>
        <w:t></w:t>
      </w:r>
      <w:r>
        <w:t>; Ernst von Caemmerer and Konrad Zweigert, ‘Évolution et état actuel de la méthode du droit comparé en allemagne’, i</w:t>
      </w:r>
      <w:r>
        <w:t xml:space="preserve">n </w:t>
      </w:r>
      <w:r>
        <w:rPr>
          <w:i/>
        </w:rPr>
        <w:t>Livre du Centenaire de la société de législation comparée</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The functional approach to comparative law had been practised in Germany and elsewhere earlier; see Max Rheinstein, ‘Comparative Law and Con</w:t>
      </w:r>
      <w:r>
        <w:rPr>
          <w:rFonts w:ascii="Calibri" w:eastAsia="Calibri" w:hAnsi="Calibri" w:cs="Calibri"/>
        </w:rPr>
        <w:t>fl</w:t>
      </w:r>
      <w:r>
        <w:t>ict of Laws in Germany’, (</w:t>
      </w:r>
      <w:r>
        <w:rPr>
          <w:rFonts w:ascii="Calibri" w:eastAsia="Calibri" w:hAnsi="Calibri" w:cs="Calibri"/>
        </w:rPr>
        <w:t></w:t>
      </w:r>
      <w:r>
        <w:t>–</w:t>
      </w:r>
      <w:r>
        <w:rPr>
          <w:rFonts w:ascii="Calibri" w:eastAsia="Calibri" w:hAnsi="Calibri" w:cs="Calibri"/>
        </w:rPr>
        <w:t></w:t>
      </w:r>
      <w:r>
        <w:t xml:space="preserve">) </w:t>
      </w:r>
      <w:r>
        <w:rPr>
          <w:rFonts w:ascii="Calibri" w:eastAsia="Calibri" w:hAnsi="Calibri" w:cs="Calibri"/>
        </w:rPr>
        <w:t></w:t>
      </w:r>
      <w:r>
        <w:t xml:space="preserve"> </w:t>
      </w:r>
      <w:r>
        <w:rPr>
          <w:i/>
        </w:rPr>
        <w:t>University of Chicago</w:t>
      </w:r>
    </w:p>
  </w:footnote>
  <w:footnote w:id="3">
    <w:p w:rsidR="007479CF" w:rsidRDefault="00CD28B5">
      <w:pPr>
        <w:pStyle w:val="footnotedescription"/>
        <w:spacing w:line="238" w:lineRule="auto"/>
        <w:ind w:right="6"/>
      </w:pPr>
      <w:r>
        <w:rPr>
          <w:rStyle w:val="footnotemark"/>
        </w:rPr>
        <w:footnoteRef/>
      </w:r>
      <w:r>
        <w:t xml:space="preserve"> cf the lists in Béatrice Jaluzot, ‘Méthodologie du droit comparé: Bilan et prospective’, (</w:t>
      </w:r>
      <w:r>
        <w:rPr>
          <w:rFonts w:ascii="Calibri" w:eastAsia="Calibri" w:hAnsi="Calibri" w:cs="Calibri"/>
        </w:rPr>
        <w:t></w:t>
      </w:r>
      <w:r>
        <w:t xml:space="preserve">) </w:t>
      </w:r>
      <w:r>
        <w:rPr>
          <w:rFonts w:ascii="Calibri" w:eastAsia="Calibri" w:hAnsi="Calibri" w:cs="Calibri"/>
        </w:rPr>
        <w:t></w:t>
      </w:r>
      <w:r>
        <w:t xml:space="preserve"> </w:t>
      </w:r>
      <w:r>
        <w:rPr>
          <w:i/>
        </w:rPr>
        <w:t>RIDC</w:t>
      </w:r>
      <w:r>
        <w:t xml:space="preserve"> </w:t>
      </w:r>
      <w:r>
        <w:rPr>
          <w:rFonts w:ascii="Calibri" w:eastAsia="Calibri" w:hAnsi="Calibri" w:cs="Calibri"/>
        </w:rPr>
        <w:t></w:t>
      </w:r>
      <w:r>
        <w:t xml:space="preserve">, </w:t>
      </w:r>
      <w:r>
        <w:rPr>
          <w:rFonts w:ascii="Calibri" w:eastAsia="Calibri" w:hAnsi="Calibri" w:cs="Calibri"/>
        </w:rPr>
        <w:t> ff</w:t>
      </w:r>
      <w:r>
        <w:t>; Alessandro Somma, ‘Al capezzale del malato? Ri</w:t>
      </w:r>
      <w:r>
        <w:rPr>
          <w:rFonts w:ascii="Calibri" w:eastAsia="Calibri" w:hAnsi="Calibri" w:cs="Calibri"/>
        </w:rPr>
        <w:t>fl</w:t>
      </w:r>
      <w:r>
        <w:t>essioni sul metodo comparatistico’, (</w:t>
      </w:r>
      <w:r>
        <w:rPr>
          <w:rFonts w:ascii="Calibri" w:eastAsia="Calibri" w:hAnsi="Calibri" w:cs="Calibri"/>
        </w:rPr>
        <w:t></w:t>
      </w:r>
      <w:r>
        <w:t xml:space="preserve">) </w:t>
      </w:r>
      <w:r>
        <w:rPr>
          <w:rFonts w:ascii="Calibri" w:eastAsia="Calibri" w:hAnsi="Calibri" w:cs="Calibri"/>
        </w:rPr>
        <w:t></w:t>
      </w:r>
      <w:r>
        <w:t xml:space="preserve"> </w:t>
      </w:r>
      <w:r>
        <w:rPr>
          <w:i/>
        </w:rPr>
        <w:t>Rivista criti</w:t>
      </w:r>
      <w:r>
        <w:rPr>
          <w:i/>
        </w:rPr>
        <w:t>ca del diritto privato</w:t>
      </w:r>
      <w:r>
        <w:t xml:space="preserve"> </w:t>
      </w:r>
      <w:r>
        <w:rPr>
          <w:rFonts w:ascii="Calibri" w:eastAsia="Calibri" w:hAnsi="Calibri" w:cs="Calibri"/>
        </w:rPr>
        <w:t></w:t>
      </w:r>
      <w:r>
        <w:t>–</w:t>
      </w:r>
      <w:r>
        <w:rPr>
          <w:rFonts w:ascii="Calibri" w:eastAsia="Calibri" w:hAnsi="Calibri" w:cs="Calibri"/>
        </w:rPr>
        <w:t></w:t>
      </w:r>
      <w:r>
        <w:t xml:space="preserve">; also in </w:t>
      </w:r>
      <w:r>
        <w:rPr>
          <w:i/>
        </w:rPr>
        <w:t>idem, Tecniche e valori nella ricerca comparatistica</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4">
    <w:p w:rsidR="007479CF" w:rsidRDefault="00CD28B5">
      <w:pPr>
        <w:pStyle w:val="footnotedescription"/>
        <w:spacing w:line="245" w:lineRule="auto"/>
      </w:pPr>
      <w:r>
        <w:rPr>
          <w:rStyle w:val="footnotemark"/>
        </w:rPr>
        <w:footnoteRef/>
      </w:r>
      <w:r>
        <w:t xml:space="preserve"> Michele Graziadei, ‘The Functional Heritage’, in Pierre Legrand and Roderick Munday (eds), </w:t>
      </w:r>
      <w:r>
        <w:rPr>
          <w:i/>
        </w:rPr>
        <w:t>Comparative Legal Studies: Traditions and Transitions</w:t>
      </w:r>
      <w:r>
        <w:t xml:space="preserve"> (</w:t>
      </w:r>
      <w:r>
        <w:rPr>
          <w:rFonts w:ascii="Calibri" w:eastAsia="Calibri" w:hAnsi="Calibri" w:cs="Calibri"/>
        </w:rPr>
        <w:t></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xml:space="preserve"> f.; Vernon Valentine Palmer, ‘From Lerotholi to Lando: Some Examples of Comparative Law Methodology’,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 xml:space="preserve">, </w:t>
      </w:r>
      <w:r>
        <w:rPr>
          <w:rFonts w:ascii="Calibri" w:eastAsia="Calibri" w:hAnsi="Calibri" w:cs="Calibri"/>
        </w:rPr>
        <w:t></w:t>
      </w:r>
      <w:r>
        <w:t>. Annelise Riles, ‘Wigmore’s Treasure Box: Comparative Law in the Era of Information’, (</w:t>
      </w:r>
      <w:r>
        <w:rPr>
          <w:rFonts w:ascii="Calibri" w:eastAsia="Calibri" w:hAnsi="Calibri" w:cs="Calibri"/>
        </w:rPr>
        <w:t></w:t>
      </w:r>
      <w:r>
        <w:t xml:space="preserve">) </w:t>
      </w:r>
      <w:r>
        <w:rPr>
          <w:rFonts w:ascii="Calibri" w:eastAsia="Calibri" w:hAnsi="Calibri" w:cs="Calibri"/>
        </w:rPr>
        <w:t xml:space="preserve"> </w:t>
      </w:r>
      <w:r>
        <w:rPr>
          <w:i/>
        </w:rPr>
        <w:t>Harvard Internationa</w:t>
      </w:r>
      <w:r>
        <w:rPr>
          <w:i/>
        </w:rPr>
        <w:t>l LJ</w:t>
      </w:r>
      <w:r>
        <w:t xml:space="preserve"> </w:t>
      </w:r>
      <w:r>
        <w:rPr>
          <w:rFonts w:ascii="Calibri" w:eastAsia="Calibri" w:hAnsi="Calibri" w:cs="Calibri"/>
        </w:rPr>
        <w:t></w:t>
      </w:r>
      <w:r>
        <w:t xml:space="preserve">, </w:t>
      </w:r>
      <w:r>
        <w:rPr>
          <w:rFonts w:ascii="Calibri" w:eastAsia="Calibri" w:hAnsi="Calibri" w:cs="Calibri"/>
        </w:rPr>
        <w:t xml:space="preserve"> </w:t>
      </w:r>
      <w:r>
        <w:t>f calls functionalism a ‘compromised methodology’.</w:t>
      </w:r>
    </w:p>
  </w:footnote>
  <w:footnote w:id="5">
    <w:p w:rsidR="007479CF" w:rsidRDefault="00CD28B5">
      <w:pPr>
        <w:pStyle w:val="footnotedescription"/>
        <w:spacing w:after="1" w:line="242" w:lineRule="auto"/>
        <w:ind w:right="1"/>
      </w:pPr>
      <w:r>
        <w:rPr>
          <w:rStyle w:val="footnotemark"/>
        </w:rPr>
        <w:footnoteRef/>
      </w:r>
      <w:r>
        <w:t xml:space="preserve"> Stefan Vogenauer, </w:t>
      </w:r>
      <w:r>
        <w:rPr>
          <w:i/>
        </w:rPr>
        <w:t>Die Auslegung von Gesetzen in England und auf dem Kontinent</w:t>
      </w:r>
      <w:r>
        <w:t xml:space="preserve"> (vol I, </w:t>
      </w:r>
      <w:r>
        <w:rPr>
          <w:rFonts w:ascii="Calibri" w:eastAsia="Calibri" w:hAnsi="Calibri" w:cs="Calibri"/>
        </w:rPr>
        <w:t></w:t>
      </w:r>
      <w:r>
        <w:t xml:space="preserve">), </w:t>
      </w:r>
      <w:r>
        <w:rPr>
          <w:rFonts w:ascii="Calibri" w:eastAsia="Calibri" w:hAnsi="Calibri" w:cs="Calibri"/>
        </w:rPr>
        <w:t></w:t>
      </w:r>
      <w:r>
        <w:t xml:space="preserve"> n </w:t>
      </w:r>
      <w:r>
        <w:rPr>
          <w:rFonts w:ascii="Calibri" w:eastAsia="Calibri" w:hAnsi="Calibri" w:cs="Calibri"/>
        </w:rPr>
        <w:t></w:t>
      </w:r>
      <w:r>
        <w:t xml:space="preserve">; see now also </w:t>
      </w:r>
      <w:r>
        <w:rPr>
          <w:i/>
        </w:rPr>
        <w:t>idem</w:t>
      </w:r>
      <w:r>
        <w:t>, ‘Eine gemeineuropäische Methodenlehre des Rechts: Plädoyer und Prog</w:t>
      </w:r>
      <w:r>
        <w:t>ramm’, (</w:t>
      </w:r>
      <w:r>
        <w:rPr>
          <w:rFonts w:ascii="Calibri" w:eastAsia="Calibri" w:hAnsi="Calibri" w:cs="Calibri"/>
        </w:rPr>
        <w:t></w:t>
      </w:r>
      <w:r>
        <w:t xml:space="preserve">) </w:t>
      </w:r>
      <w:r>
        <w:rPr>
          <w:rFonts w:ascii="Calibri" w:eastAsia="Calibri" w:hAnsi="Calibri" w:cs="Calibri"/>
        </w:rPr>
        <w:t></w:t>
      </w:r>
      <w:r>
        <w:t xml:space="preserve"> </w:t>
      </w:r>
      <w:r>
        <w:rPr>
          <w:i/>
        </w:rPr>
        <w:t>Zeitschrift für Europäisches Privatrecht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6">
    <w:p w:rsidR="007479CF" w:rsidRDefault="00CD28B5">
      <w:pPr>
        <w:pStyle w:val="footnotedescription"/>
        <w:spacing w:line="243" w:lineRule="auto"/>
      </w:pPr>
      <w:r>
        <w:rPr>
          <w:rStyle w:val="footnotemark"/>
        </w:rPr>
        <w:footnoteRef/>
      </w:r>
      <w:r>
        <w:t xml:space="preserve"> Mitchel de S.-O.-l’E. Lasser, </w:t>
      </w:r>
      <w:r>
        <w:rPr>
          <w:i/>
        </w:rPr>
        <w:t>Judicial Deliberations</w:t>
      </w:r>
      <w:r>
        <w:t xml:space="preserve"> (</w:t>
      </w:r>
      <w:r>
        <w:rPr>
          <w:rFonts w:ascii="Calibri" w:eastAsia="Calibri" w:hAnsi="Calibri" w:cs="Calibri"/>
        </w:rPr>
        <w:t></w:t>
      </w:r>
      <w:r>
        <w:t xml:space="preserve">), </w:t>
      </w:r>
      <w:r>
        <w:rPr>
          <w:rFonts w:ascii="Calibri" w:eastAsia="Calibri" w:hAnsi="Calibri" w:cs="Calibri"/>
        </w:rPr>
        <w:t></w:t>
      </w:r>
      <w:r>
        <w:t xml:space="preserve">; cf </w:t>
      </w:r>
      <w:r>
        <w:rPr>
          <w:i/>
        </w:rPr>
        <w:t>idem</w:t>
      </w:r>
      <w:r>
        <w:t xml:space="preserve">, ‘The Question of Understanding’, in Legrand and Munday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7">
    <w:p w:rsidR="007479CF" w:rsidRDefault="00CD28B5">
      <w:pPr>
        <w:pStyle w:val="footnotedescription"/>
        <w:spacing w:line="246" w:lineRule="auto"/>
        <w:ind w:right="7"/>
      </w:pPr>
      <w:r>
        <w:rPr>
          <w:rStyle w:val="footnotemark"/>
        </w:rPr>
        <w:footnoteRef/>
      </w:r>
      <w:r>
        <w:t xml:space="preserve"> Lasser, </w:t>
      </w:r>
      <w:r>
        <w:rPr>
          <w:i/>
        </w:rPr>
        <w:t>Judicial Deliberations</w:t>
      </w:r>
      <w:r>
        <w:t xml:space="preserve"> (n </w:t>
      </w:r>
      <w:r>
        <w:rPr>
          <w:rFonts w:ascii="Calibri" w:eastAsia="Calibri" w:hAnsi="Calibri" w:cs="Calibri"/>
        </w:rPr>
        <w:t></w:t>
      </w:r>
      <w:r>
        <w:t xml:space="preserve">), </w:t>
      </w:r>
      <w:r>
        <w:rPr>
          <w:rFonts w:ascii="Calibri" w:eastAsia="Calibri" w:hAnsi="Calibri" w:cs="Calibri"/>
        </w:rPr>
        <w:t> ff</w:t>
      </w:r>
      <w:r>
        <w:t xml:space="preserve">; see also </w:t>
      </w:r>
      <w:r>
        <w:rPr>
          <w:i/>
        </w:rPr>
        <w:t>idem</w:t>
      </w:r>
      <w:r>
        <w:t xml:space="preserve">, ‘Is there a Transatlantic Common Core of Judicial Discourse?’, in Mauro Bassani and Ugo Mattei (eds), </w:t>
      </w:r>
      <w:r>
        <w:rPr>
          <w:i/>
        </w:rPr>
        <w:t>The Common Core of European Private Law</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8">
    <w:p w:rsidR="007479CF" w:rsidRDefault="00CD28B5">
      <w:pPr>
        <w:pStyle w:val="footnotedescription"/>
        <w:spacing w:line="259" w:lineRule="auto"/>
        <w:ind w:left="175" w:firstLine="0"/>
        <w:jc w:val="left"/>
      </w:pPr>
      <w:r>
        <w:rPr>
          <w:rStyle w:val="footnotemark"/>
        </w:rPr>
        <w:footnoteRef/>
      </w:r>
      <w:r>
        <w:t xml:space="preserve"> Zweigert and Kötz (n </w:t>
      </w:r>
      <w:r>
        <w:rPr>
          <w:rFonts w:ascii="Calibri" w:eastAsia="Calibri" w:hAnsi="Calibri" w:cs="Calibri"/>
        </w:rPr>
        <w:t></w:t>
      </w:r>
      <w:r>
        <w:t xml:space="preserve">), </w:t>
      </w:r>
      <w:r>
        <w:rPr>
          <w:rFonts w:ascii="Calibri" w:eastAsia="Calibri" w:hAnsi="Calibri" w:cs="Calibri"/>
        </w:rPr>
        <w:t></w:t>
      </w:r>
      <w:r>
        <w:t>.</w:t>
      </w:r>
    </w:p>
  </w:footnote>
  <w:footnote w:id="9">
    <w:p w:rsidR="007479CF" w:rsidRDefault="00CD28B5">
      <w:pPr>
        <w:pStyle w:val="footnotedescription"/>
        <w:spacing w:line="257" w:lineRule="auto"/>
      </w:pPr>
      <w:r>
        <w:rPr>
          <w:rStyle w:val="footnotemark"/>
        </w:rPr>
        <w:footnoteRef/>
      </w:r>
      <w:r>
        <w:t xml:space="preserve"> Kingsley Davis</w:t>
      </w:r>
      <w:r>
        <w:t>, ‘The Myth of Functional Analysis as a Special Method in Sociology and Anthropology’, (</w:t>
      </w:r>
      <w:r>
        <w:rPr>
          <w:rFonts w:ascii="Calibri" w:eastAsia="Calibri" w:hAnsi="Calibri" w:cs="Calibri"/>
        </w:rPr>
        <w:t></w:t>
      </w:r>
      <w:r>
        <w:t xml:space="preserve">) </w:t>
      </w:r>
      <w:r>
        <w:rPr>
          <w:rFonts w:ascii="Calibri" w:eastAsia="Calibri" w:hAnsi="Calibri" w:cs="Calibri"/>
        </w:rPr>
        <w:t></w:t>
      </w:r>
      <w:r>
        <w:t xml:space="preserve"> </w:t>
      </w:r>
      <w:r>
        <w:rPr>
          <w:i/>
        </w:rPr>
        <w:t>American Sociological Review</w:t>
      </w:r>
      <w:r>
        <w:t xml:space="preserve"> </w:t>
      </w:r>
      <w:r>
        <w:rPr>
          <w:rFonts w:ascii="Calibri" w:eastAsia="Calibri" w:hAnsi="Calibri" w:cs="Calibri"/>
        </w:rPr>
        <w:t></w:t>
      </w:r>
      <w:r>
        <w:t xml:space="preserve">, </w:t>
      </w:r>
      <w:r>
        <w:rPr>
          <w:rFonts w:ascii="Calibri" w:eastAsia="Calibri" w:hAnsi="Calibri" w:cs="Calibri"/>
        </w:rPr>
        <w:t></w:t>
      </w:r>
      <w:r>
        <w:t>.</w:t>
      </w:r>
    </w:p>
  </w:footnote>
  <w:footnote w:id="10">
    <w:p w:rsidR="007479CF" w:rsidRDefault="00CD28B5">
      <w:pPr>
        <w:pStyle w:val="footnotedescription"/>
        <w:spacing w:line="247" w:lineRule="auto"/>
        <w:ind w:right="1"/>
      </w:pPr>
      <w:r>
        <w:rPr>
          <w:rStyle w:val="footnotemark"/>
        </w:rPr>
        <w:footnoteRef/>
      </w:r>
      <w:r>
        <w:t xml:space="preserve"> Laura Kalman, </w:t>
      </w:r>
      <w:r>
        <w:rPr>
          <w:i/>
        </w:rPr>
        <w:t xml:space="preserve">Legal Realism at Yale, </w:t>
      </w:r>
      <w:r>
        <w:rPr>
          <w:rFonts w:ascii="Calibri" w:eastAsia="Calibri" w:hAnsi="Calibri" w:cs="Calibri"/>
          <w:i/>
        </w:rPr>
        <w:t></w:t>
      </w:r>
      <w:r>
        <w:rPr>
          <w:i/>
        </w:rPr>
        <w:t>–</w:t>
      </w:r>
      <w:r>
        <w:rPr>
          <w:rFonts w:ascii="Calibri" w:eastAsia="Calibri" w:hAnsi="Calibri" w:cs="Calibri"/>
          <w:i/>
        </w:rPr>
        <w:t></w:t>
      </w:r>
      <w:r>
        <w:t xml:space="preserve"> (</w:t>
      </w:r>
      <w:r>
        <w:rPr>
          <w:rFonts w:ascii="Calibri" w:eastAsia="Calibri" w:hAnsi="Calibri" w:cs="Calibri"/>
        </w:rPr>
        <w:t></w:t>
      </w:r>
      <w:r>
        <w:t xml:space="preserve">), </w:t>
      </w:r>
      <w:r>
        <w:rPr>
          <w:rFonts w:ascii="Calibri" w:eastAsia="Calibri" w:hAnsi="Calibri" w:cs="Calibri"/>
        </w:rPr>
        <w:t></w:t>
      </w:r>
      <w:r>
        <w:t>. See also Lawrence Rosen, ‘Beyond Compare’</w:t>
      </w:r>
      <w:r>
        <w:t xml:space="preserve">, in Legrand and Munday (n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ending his critique of functionalism by proclaiming: ‘In some sense, of course, we are all functionalists and that is all to the good inasmuch as it leads us to see connections we might not otherwise have thought ob</w:t>
      </w:r>
      <w:r>
        <w:t>tained’.</w:t>
      </w:r>
    </w:p>
  </w:footnote>
  <w:footnote w:id="11">
    <w:p w:rsidR="007479CF" w:rsidRDefault="00CD28B5">
      <w:pPr>
        <w:pStyle w:val="footnotedescription"/>
        <w:spacing w:line="246" w:lineRule="auto"/>
        <w:ind w:right="1"/>
      </w:pPr>
      <w:r>
        <w:rPr>
          <w:rStyle w:val="footnotemark"/>
        </w:rPr>
        <w:footnoteRef/>
      </w:r>
      <w:r>
        <w:t xml:space="preserve"> For example Radcli</w:t>
      </w:r>
      <w:r>
        <w:rPr>
          <w:rFonts w:ascii="Calibri" w:eastAsia="Calibri" w:hAnsi="Calibri" w:cs="Calibri"/>
        </w:rPr>
        <w:t>ff</w:t>
      </w:r>
      <w:r>
        <w:t>e-Brown called himself an anti-functionalist just in order to distinguish himself from the other great functionalist, Malinowski: Alfred R. Radcli</w:t>
      </w:r>
      <w:r>
        <w:rPr>
          <w:rFonts w:ascii="Calibri" w:eastAsia="Calibri" w:hAnsi="Calibri" w:cs="Calibri"/>
        </w:rPr>
        <w:t>ff</w:t>
      </w:r>
      <w:r>
        <w:t>e-Brown, ‘Functionalism: A Protest’, (</w:t>
      </w:r>
      <w:r>
        <w:rPr>
          <w:rFonts w:ascii="Calibri" w:eastAsia="Calibri" w:hAnsi="Calibri" w:cs="Calibri"/>
        </w:rPr>
        <w:t></w:t>
      </w:r>
      <w:r>
        <w:t xml:space="preserve">) </w:t>
      </w:r>
      <w:r>
        <w:rPr>
          <w:rFonts w:ascii="Calibri" w:eastAsia="Calibri" w:hAnsi="Calibri" w:cs="Calibri"/>
        </w:rPr>
        <w:t></w:t>
      </w:r>
      <w:r>
        <w:t xml:space="preserve"> </w:t>
      </w:r>
      <w:r>
        <w:rPr>
          <w:i/>
        </w:rPr>
        <w:t>American Anthropologist</w:t>
      </w:r>
      <w:r>
        <w:t xml:space="preserve"> </w:t>
      </w:r>
      <w:r>
        <w:rPr>
          <w:rFonts w:ascii="Calibri" w:eastAsia="Calibri" w:hAnsi="Calibri" w:cs="Calibri"/>
        </w:rPr>
        <w:t></w:t>
      </w:r>
      <w:r>
        <w:t xml:space="preserve">, </w:t>
      </w:r>
      <w:r>
        <w:rPr>
          <w:rFonts w:ascii="Calibri" w:eastAsia="Calibri" w:hAnsi="Calibri" w:cs="Calibri"/>
        </w:rPr>
        <w:t></w:t>
      </w:r>
      <w:r>
        <w:t>.</w:t>
      </w:r>
    </w:p>
  </w:footnote>
  <w:footnote w:id="12">
    <w:p w:rsidR="007479CF" w:rsidRDefault="00CD28B5">
      <w:pPr>
        <w:pStyle w:val="footnotedescription"/>
        <w:spacing w:line="246" w:lineRule="auto"/>
      </w:pPr>
      <w:r>
        <w:rPr>
          <w:rStyle w:val="footnotemark"/>
        </w:rPr>
        <w:footnoteRef/>
      </w:r>
      <w:r>
        <w:t xml:space="preserve"> See, most recently, Hanoch Dagan, ‘The Realist Conception of Law’, (</w:t>
      </w:r>
      <w:r>
        <w:rPr>
          <w:rFonts w:ascii="Calibri" w:eastAsia="Calibri" w:hAnsi="Calibri" w:cs="Calibri"/>
        </w:rPr>
        <w:t></w:t>
      </w:r>
      <w:r>
        <w:t xml:space="preserve">) </w:t>
      </w:r>
      <w:r>
        <w:rPr>
          <w:i/>
        </w:rPr>
        <w:t>Tel Aviv University Law Faculty Papers</w:t>
      </w:r>
      <w:r>
        <w:t xml:space="preserve"> </w:t>
      </w:r>
      <w:r>
        <w:rPr>
          <w:rFonts w:ascii="Calibri" w:eastAsia="Calibri" w:hAnsi="Calibri" w:cs="Calibri"/>
        </w:rPr>
        <w:t></w:t>
      </w:r>
      <w:r>
        <w:t>.</w:t>
      </w:r>
    </w:p>
  </w:footnote>
  <w:footnote w:id="13">
    <w:p w:rsidR="007479CF" w:rsidRDefault="00CD28B5">
      <w:pPr>
        <w:pStyle w:val="footnotedescription"/>
        <w:spacing w:line="259" w:lineRule="auto"/>
        <w:ind w:left="175" w:firstLine="0"/>
        <w:jc w:val="left"/>
      </w:pPr>
      <w:r>
        <w:rPr>
          <w:rStyle w:val="footnotemark"/>
        </w:rPr>
        <w:footnoteRef/>
      </w:r>
      <w:r>
        <w:t xml:space="preserve"> Reiner Wiehl, </w:t>
      </w:r>
      <w:r>
        <w:rPr>
          <w:i/>
        </w:rPr>
        <w:t>Subjektivität und System</w:t>
      </w:r>
      <w:r>
        <w:t xml:space="preserve"> (</w:t>
      </w:r>
      <w:r>
        <w:rPr>
          <w:rFonts w:ascii="Calibri" w:eastAsia="Calibri" w:hAnsi="Calibri" w:cs="Calibri"/>
        </w:rPr>
        <w:t></w:t>
      </w:r>
      <w:r>
        <w:t xml:space="preserve">), </w:t>
      </w:r>
      <w:r>
        <w:rPr>
          <w:rFonts w:ascii="Calibri" w:eastAsia="Calibri" w:hAnsi="Calibri" w:cs="Calibri"/>
        </w:rPr>
        <w:t></w:t>
      </w:r>
      <w:r>
        <w:t>.</w:t>
      </w:r>
    </w:p>
  </w:footnote>
  <w:footnote w:id="14">
    <w:p w:rsidR="007479CF" w:rsidRDefault="00CD28B5">
      <w:pPr>
        <w:pStyle w:val="footnotedescription"/>
        <w:spacing w:line="270" w:lineRule="auto"/>
      </w:pPr>
      <w:r>
        <w:rPr>
          <w:rStyle w:val="footnotemark"/>
        </w:rPr>
        <w:footnoteRef/>
      </w:r>
      <w:r>
        <w:t xml:space="preserve"> Connections are drawn eg by Rudolf B. Schlesing</w:t>
      </w:r>
      <w:r>
        <w:t xml:space="preserve">er, Hans W. Baade, Peter E. Herzog, and Edward M. Wise, </w:t>
      </w:r>
      <w:r>
        <w:rPr>
          <w:i/>
        </w:rPr>
        <w:t>Comparative Law</w:t>
      </w:r>
      <w:r>
        <w:t xml:space="preserve"> (</w:t>
      </w:r>
      <w:r>
        <w:rPr>
          <w:rFonts w:ascii="Calibri" w:eastAsia="Calibri" w:hAnsi="Calibri" w:cs="Calibri"/>
        </w:rPr>
        <w:t></w:t>
      </w:r>
      <w:r>
        <w:t xml:space="preserve">th edn, </w:t>
      </w:r>
      <w:r>
        <w:rPr>
          <w:rFonts w:ascii="Calibri" w:eastAsia="Calibri" w:hAnsi="Calibri" w:cs="Calibri"/>
        </w:rPr>
        <w:t></w:t>
      </w:r>
      <w:r>
        <w:t xml:space="preserve">), </w:t>
      </w:r>
      <w:r>
        <w:rPr>
          <w:rFonts w:ascii="Calibri" w:eastAsia="Calibri" w:hAnsi="Calibri" w:cs="Calibri"/>
        </w:rPr>
        <w:t></w:t>
      </w:r>
      <w:r>
        <w:t xml:space="preserve">; Rosen (n </w:t>
      </w:r>
      <w:r>
        <w:rPr>
          <w:rFonts w:ascii="Calibri" w:eastAsia="Calibri" w:hAnsi="Calibri" w:cs="Calibri"/>
        </w:rPr>
        <w:t></w:t>
      </w:r>
      <w:r>
        <w:t xml:space="preserve">), </w:t>
      </w:r>
      <w:r>
        <w:rPr>
          <w:rFonts w:ascii="Calibri" w:eastAsia="Calibri" w:hAnsi="Calibri" w:cs="Calibri"/>
        </w:rPr>
        <w:t></w:t>
      </w:r>
      <w:r>
        <w:t>.</w:t>
      </w:r>
    </w:p>
  </w:footnote>
  <w:footnote w:id="15">
    <w:p w:rsidR="007479CF" w:rsidRDefault="00CD28B5">
      <w:pPr>
        <w:pStyle w:val="footnotedescription"/>
        <w:spacing w:line="240" w:lineRule="auto"/>
        <w:ind w:right="2"/>
      </w:pPr>
      <w:r>
        <w:rPr>
          <w:rStyle w:val="footnotemark"/>
        </w:rPr>
        <w:footnoteRef/>
      </w:r>
      <w:r>
        <w:t xml:space="preserve"> For examples from writers in two di</w:t>
      </w:r>
      <w:r>
        <w:rPr>
          <w:rFonts w:ascii="Calibri" w:eastAsia="Calibri" w:hAnsi="Calibri" w:cs="Calibri"/>
        </w:rPr>
        <w:t>ff</w:t>
      </w:r>
      <w:r>
        <w:t xml:space="preserve">erent disciplines, see the references in Robert K. Merton, ‘Manifest and Latent Functions’, in </w:t>
      </w:r>
      <w:r>
        <w:rPr>
          <w:i/>
        </w:rPr>
        <w:t>idem, Soci</w:t>
      </w:r>
      <w:r>
        <w:rPr>
          <w:i/>
        </w:rPr>
        <w:t>al Theory and Social Structure</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xml:space="preserve"> n </w:t>
      </w:r>
      <w:r>
        <w:rPr>
          <w:rFonts w:ascii="Calibri" w:eastAsia="Calibri" w:hAnsi="Calibri" w:cs="Calibri"/>
        </w:rPr>
        <w:t></w:t>
      </w:r>
      <w:r>
        <w:t xml:space="preserve">; reprinted eg in N. J. Demerath III and Richard A. Peterson (eds), </w:t>
      </w:r>
      <w:r>
        <w:rPr>
          <w:i/>
        </w:rPr>
        <w:t>System, Change, and Con</w:t>
      </w:r>
      <w:r>
        <w:rPr>
          <w:rFonts w:ascii="Calibri" w:eastAsia="Calibri" w:hAnsi="Calibri" w:cs="Calibri"/>
          <w:i/>
        </w:rPr>
        <w:t>fl</w:t>
      </w:r>
      <w:r>
        <w:rPr>
          <w:i/>
        </w:rPr>
        <w:t>ict: A Reader on Contemporary Sociological Theory and the Debate over Functionalism</w:t>
      </w:r>
      <w:r>
        <w:t xml:space="preserve"> (</w:t>
      </w:r>
      <w:r>
        <w:rPr>
          <w:rFonts w:ascii="Calibri" w:eastAsia="Calibri" w:hAnsi="Calibri" w:cs="Calibri"/>
        </w:rPr>
        <w:t></w:t>
      </w:r>
      <w:r>
        <w:t xml:space="preserve">), </w:t>
      </w:r>
      <w:r>
        <w:rPr>
          <w:rFonts w:ascii="Calibri" w:eastAsia="Calibri" w:hAnsi="Calibri" w:cs="Calibri"/>
        </w:rPr>
        <w:t></w:t>
      </w:r>
      <w:r>
        <w:t xml:space="preserve">; Felix S. Cohen, </w:t>
      </w:r>
      <w:r>
        <w:t>‘Transcendental Nonsense and the Functional Method’, (</w:t>
      </w:r>
      <w:r>
        <w:rPr>
          <w:rFonts w:ascii="Calibri" w:eastAsia="Calibri" w:hAnsi="Calibri" w:cs="Calibri"/>
        </w:rPr>
        <w:t></w:t>
      </w:r>
      <w:r>
        <w:t xml:space="preserve">) </w:t>
      </w:r>
      <w:r>
        <w:rPr>
          <w:rFonts w:ascii="Calibri" w:eastAsia="Calibri" w:hAnsi="Calibri" w:cs="Calibri"/>
        </w:rPr>
        <w:t></w:t>
      </w:r>
      <w:r>
        <w:t xml:space="preserve"> </w:t>
      </w:r>
      <w:r>
        <w:rPr>
          <w:i/>
        </w:rPr>
        <w:t>Columbia LR</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w:t>
      </w:r>
      <w:r>
        <w:rPr>
          <w:i/>
        </w:rPr>
        <w:t>idem</w:t>
      </w:r>
      <w:r>
        <w:t>, ‘The Problems of a Functional Jurisprudence’, (</w:t>
      </w:r>
      <w:r>
        <w:rPr>
          <w:rFonts w:ascii="Calibri" w:eastAsia="Calibri" w:hAnsi="Calibri" w:cs="Calibri"/>
        </w:rPr>
        <w:t></w:t>
      </w:r>
      <w:r>
        <w:t xml:space="preserve">), </w:t>
      </w:r>
      <w:r>
        <w:rPr>
          <w:i/>
        </w:rPr>
        <w:t>Modern LR</w:t>
      </w:r>
      <w:r>
        <w:t xml:space="preserve"> </w:t>
      </w:r>
      <w:r>
        <w:rPr>
          <w:rFonts w:ascii="Calibri" w:eastAsia="Calibri" w:hAnsi="Calibri" w:cs="Calibri"/>
        </w:rPr>
        <w:t></w:t>
      </w:r>
      <w:r>
        <w:t xml:space="preserve">, </w:t>
      </w:r>
      <w:r>
        <w:rPr>
          <w:rFonts w:ascii="Calibri" w:eastAsia="Calibri" w:hAnsi="Calibri" w:cs="Calibri"/>
        </w:rPr>
        <w:t></w:t>
      </w:r>
      <w:r>
        <w:t>.</w:t>
      </w:r>
    </w:p>
  </w:footnote>
  <w:footnote w:id="16">
    <w:p w:rsidR="007479CF" w:rsidRDefault="00CD28B5">
      <w:pPr>
        <w:pStyle w:val="footnotedescription"/>
        <w:spacing w:line="259" w:lineRule="auto"/>
        <w:ind w:left="175" w:firstLine="0"/>
        <w:jc w:val="left"/>
      </w:pPr>
      <w:r>
        <w:rPr>
          <w:rStyle w:val="footnotemark"/>
        </w:rPr>
        <w:footnoteRef/>
      </w:r>
      <w:r>
        <w:t xml:space="preserve"> Ernst Cassirer, </w:t>
      </w:r>
      <w:r>
        <w:rPr>
          <w:i/>
        </w:rPr>
        <w:t>Substanzbegri</w:t>
      </w:r>
      <w:r>
        <w:rPr>
          <w:rFonts w:ascii="Calibri" w:eastAsia="Calibri" w:hAnsi="Calibri" w:cs="Calibri"/>
          <w:i/>
        </w:rPr>
        <w:t>ff</w:t>
      </w:r>
      <w:r>
        <w:rPr>
          <w:i/>
        </w:rPr>
        <w:t xml:space="preserve"> und Funktionsbegri</w:t>
      </w:r>
      <w:r>
        <w:rPr>
          <w:rFonts w:ascii="Calibri" w:eastAsia="Calibri" w:hAnsi="Calibri" w:cs="Calibri"/>
          <w:i/>
        </w:rPr>
        <w:t>ff</w:t>
      </w:r>
      <w:r>
        <w:t xml:space="preserve"> (</w:t>
      </w:r>
      <w:r>
        <w:rPr>
          <w:rFonts w:ascii="Calibri" w:eastAsia="Calibri" w:hAnsi="Calibri" w:cs="Calibri"/>
        </w:rPr>
        <w:t></w:t>
      </w:r>
      <w:r>
        <w:t>).</w:t>
      </w:r>
    </w:p>
  </w:footnote>
  <w:footnote w:id="17">
    <w:p w:rsidR="007479CF" w:rsidRDefault="00CD28B5">
      <w:pPr>
        <w:pStyle w:val="footnotedescription"/>
      </w:pPr>
      <w:r>
        <w:rPr>
          <w:rStyle w:val="footnotemark"/>
        </w:rPr>
        <w:footnoteRef/>
      </w:r>
      <w:r>
        <w:t xml:space="preserve"> </w:t>
      </w:r>
      <w:r>
        <w:t>For another classi</w:t>
      </w:r>
      <w:r>
        <w:rPr>
          <w:rFonts w:ascii="Calibri" w:eastAsia="Calibri" w:hAnsi="Calibri" w:cs="Calibri"/>
        </w:rPr>
        <w:t>fi</w:t>
      </w:r>
      <w:r>
        <w:t>cation of di</w:t>
      </w:r>
      <w:r>
        <w:rPr>
          <w:rFonts w:ascii="Calibri" w:eastAsia="Calibri" w:hAnsi="Calibri" w:cs="Calibri"/>
        </w:rPr>
        <w:t>ff</w:t>
      </w:r>
      <w:r>
        <w:t>erent concepts of functionalism, see Martin Mahner and Mario Bunge, ‘Function and Functionalism: A Synthetic Perspective’, (</w:t>
      </w:r>
      <w:r>
        <w:rPr>
          <w:rFonts w:ascii="Calibri" w:eastAsia="Calibri" w:hAnsi="Calibri" w:cs="Calibri"/>
        </w:rPr>
        <w:t></w:t>
      </w:r>
      <w:r>
        <w:t xml:space="preserve">) </w:t>
      </w:r>
      <w:r>
        <w:rPr>
          <w:rFonts w:ascii="Calibri" w:eastAsia="Calibri" w:hAnsi="Calibri" w:cs="Calibri"/>
        </w:rPr>
        <w:t></w:t>
      </w:r>
      <w:r>
        <w:t xml:space="preserve"> </w:t>
      </w:r>
      <w:r>
        <w:rPr>
          <w:i/>
        </w:rPr>
        <w:t>Philosophy of Science</w:t>
      </w:r>
      <w:r>
        <w:t xml:space="preserve"> </w:t>
      </w:r>
      <w:r>
        <w:rPr>
          <w:rFonts w:ascii="Calibri" w:eastAsia="Calibri" w:hAnsi="Calibri" w:cs="Calibri"/>
        </w:rPr>
        <w:t></w:t>
      </w:r>
      <w:r>
        <w:t>–</w:t>
      </w:r>
      <w:r>
        <w:rPr>
          <w:rFonts w:ascii="Calibri" w:eastAsia="Calibri" w:hAnsi="Calibri" w:cs="Calibri"/>
        </w:rPr>
        <w:t></w:t>
      </w:r>
      <w:r>
        <w:t>.</w:t>
      </w:r>
    </w:p>
  </w:footnote>
  <w:footnote w:id="18">
    <w:p w:rsidR="007479CF" w:rsidRDefault="00CD28B5">
      <w:pPr>
        <w:pStyle w:val="footnotedescription"/>
        <w:spacing w:after="1" w:line="241" w:lineRule="auto"/>
        <w:ind w:right="1"/>
      </w:pPr>
      <w:r>
        <w:rPr>
          <w:rStyle w:val="footnotemark"/>
        </w:rPr>
        <w:footnoteRef/>
      </w:r>
      <w:r>
        <w:t xml:space="preserve"> Gustav Radbruch, ‘Über die Methode der Rechtsvergleichung’</w:t>
      </w:r>
      <w:r>
        <w:t>, (</w:t>
      </w:r>
      <w:r>
        <w:rPr>
          <w:rFonts w:ascii="Calibri" w:eastAsia="Calibri" w:hAnsi="Calibri" w:cs="Calibri"/>
        </w:rPr>
        <w:t></w:t>
      </w:r>
      <w:r>
        <w:t>–</w:t>
      </w:r>
      <w:r>
        <w:rPr>
          <w:rFonts w:ascii="Calibri" w:eastAsia="Calibri" w:hAnsi="Calibri" w:cs="Calibri"/>
        </w:rPr>
        <w:t></w:t>
      </w:r>
      <w:r>
        <w:t xml:space="preserve">) </w:t>
      </w:r>
      <w:r>
        <w:rPr>
          <w:rFonts w:ascii="Calibri" w:eastAsia="Calibri" w:hAnsi="Calibri" w:cs="Calibri"/>
        </w:rPr>
        <w:t></w:t>
      </w:r>
      <w:r>
        <w:t xml:space="preserve"> </w:t>
      </w:r>
      <w:r>
        <w:rPr>
          <w:i/>
        </w:rPr>
        <w:t>Monatsschrift für Kriminalpsychologie und Strafrechtsreform</w:t>
      </w:r>
      <w:r>
        <w:t xml:space="preserve"> </w:t>
      </w:r>
      <w:r>
        <w:rPr>
          <w:rFonts w:ascii="Calibri" w:eastAsia="Calibri" w:hAnsi="Calibri" w:cs="Calibri"/>
        </w:rPr>
        <w:t></w:t>
      </w:r>
      <w:r>
        <w:t>–</w:t>
      </w:r>
      <w:r>
        <w:rPr>
          <w:rFonts w:ascii="Calibri" w:eastAsia="Calibri" w:hAnsi="Calibri" w:cs="Calibri"/>
        </w:rPr>
        <w:t></w:t>
      </w:r>
      <w:r>
        <w:t xml:space="preserve">; reprinted in Zweigert and Puttfarken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 xml:space="preserve"> </w:t>
      </w:r>
      <w:r>
        <w:t xml:space="preserve">and in Heinrich Scholler (ed), </w:t>
      </w:r>
      <w:r>
        <w:rPr>
          <w:i/>
        </w:rPr>
        <w:t>Gustav Radbruch—Rechtsvergleichende Schriften</w:t>
      </w:r>
      <w:r>
        <w:t xml:space="preserve"> (Gustav Radbruch Gesamtausgabe, vol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See also </w:t>
      </w:r>
      <w:r>
        <w:rPr>
          <w:i/>
        </w:rPr>
        <w:t>idem, Rechtsphilosophie</w:t>
      </w:r>
      <w:r>
        <w:t xml:space="preserve"> (</w:t>
      </w:r>
      <w:r>
        <w:rPr>
          <w:rFonts w:ascii="Calibri" w:eastAsia="Calibri" w:hAnsi="Calibri" w:cs="Calibri"/>
        </w:rPr>
        <w:t></w:t>
      </w:r>
      <w:r>
        <w:t xml:space="preserve">), </w:t>
      </w:r>
      <w:r>
        <w:rPr>
          <w:rFonts w:ascii="Calibri" w:eastAsia="Calibri" w:hAnsi="Calibri" w:cs="Calibri"/>
        </w:rPr>
        <w:t></w:t>
      </w:r>
      <w:r>
        <w:t xml:space="preserve"> (</w:t>
      </w:r>
      <w:r>
        <w:rPr>
          <w:i/>
        </w:rPr>
        <w:t>Wertbeziehung</w:t>
      </w:r>
      <w:r>
        <w:t xml:space="preserve"> [value relation] as scienti</w:t>
      </w:r>
      <w:r>
        <w:rPr>
          <w:rFonts w:ascii="Calibri" w:eastAsia="Calibri" w:hAnsi="Calibri" w:cs="Calibri"/>
        </w:rPr>
        <w:t>fi</w:t>
      </w:r>
      <w:r>
        <w:t xml:space="preserve">c criterion for legal science). For a stricter application of the is/ought argument and critical response to both Radbruch and Salomon, see Julius Binder, </w:t>
      </w:r>
      <w:r>
        <w:rPr>
          <w:i/>
        </w:rPr>
        <w:t>Philosop</w:t>
      </w:r>
      <w:r>
        <w:rPr>
          <w:i/>
        </w:rPr>
        <w:t>hie des Rechts</w:t>
      </w:r>
      <w:r>
        <w:t xml:space="preserve"> (</w:t>
      </w:r>
      <w:r>
        <w:rPr>
          <w:rFonts w:ascii="Calibri" w:eastAsia="Calibri" w:hAnsi="Calibri" w:cs="Calibri"/>
        </w:rPr>
        <w:t></w:t>
      </w:r>
      <w:r>
        <w:t xml:space="preserve">), </w:t>
      </w:r>
      <w:r>
        <w:rPr>
          <w:rFonts w:ascii="Calibri" w:eastAsia="Calibri" w:hAnsi="Calibri" w:cs="Calibri"/>
        </w:rPr>
        <w:t> ff</w:t>
      </w:r>
      <w:r>
        <w:t xml:space="preserve">; for the possibility of a Natural law derived from the comparison of positive laws, see von Liszt (n </w:t>
      </w:r>
      <w:r>
        <w:rPr>
          <w:rFonts w:ascii="Calibri" w:eastAsia="Calibri" w:hAnsi="Calibri" w:cs="Calibri"/>
        </w:rPr>
        <w:t></w:t>
      </w:r>
      <w:r>
        <w:t xml:space="preserve">), </w:t>
      </w:r>
      <w:r>
        <w:rPr>
          <w:rFonts w:ascii="Calibri" w:eastAsia="Calibri" w:hAnsi="Calibri" w:cs="Calibri"/>
        </w:rPr>
        <w:t xml:space="preserve"> </w:t>
      </w:r>
      <w:r>
        <w:t>f; Konrad Zweigert, ‘Rechtsvergleichung als universale Interpretationsmethode’, (</w:t>
      </w:r>
      <w:r>
        <w:rPr>
          <w:rFonts w:ascii="Calibri" w:eastAsia="Calibri" w:hAnsi="Calibri" w:cs="Calibri"/>
        </w:rPr>
        <w:t></w:t>
      </w:r>
      <w:r>
        <w:t xml:space="preserve">) </w:t>
      </w:r>
      <w:r>
        <w:rPr>
          <w:rFonts w:ascii="Calibri" w:eastAsia="Calibri" w:hAnsi="Calibri" w:cs="Calibri"/>
        </w:rPr>
        <w:t xml:space="preserve"> </w:t>
      </w:r>
      <w:r>
        <w:rPr>
          <w:i/>
        </w:rPr>
        <w:t>RabelsZ</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19">
    <w:p w:rsidR="007479CF" w:rsidRDefault="00CD28B5">
      <w:pPr>
        <w:pStyle w:val="footnotedescription"/>
        <w:spacing w:line="244" w:lineRule="auto"/>
        <w:ind w:right="4"/>
      </w:pPr>
      <w:r>
        <w:rPr>
          <w:rStyle w:val="footnotemark"/>
        </w:rPr>
        <w:footnoteRef/>
      </w:r>
      <w:r>
        <w:t xml:space="preserve"> </w:t>
      </w:r>
      <w:r>
        <w:t xml:space="preserve">Max Salomon, </w:t>
      </w:r>
      <w:r>
        <w:rPr>
          <w:i/>
        </w:rPr>
        <w:t>Grundlegung zur Rechtsphilosophie</w:t>
      </w:r>
      <w:r>
        <w:t xml:space="preserve"> (</w:t>
      </w:r>
      <w:r>
        <w:rPr>
          <w:rFonts w:ascii="Calibri" w:eastAsia="Calibri" w:hAnsi="Calibri" w:cs="Calibri"/>
        </w:rPr>
        <w:t></w:t>
      </w:r>
      <w:r>
        <w:t xml:space="preserve">), </w:t>
      </w:r>
      <w:r>
        <w:rPr>
          <w:rFonts w:ascii="Calibri" w:eastAsia="Calibri" w:hAnsi="Calibri" w:cs="Calibri"/>
        </w:rPr>
        <w:t></w:t>
      </w:r>
      <w:r>
        <w:t xml:space="preserve"> (‘Rechtswissenschaft ist nicht eine Wissenschaft von den Rechtsnormen, sondern von den Rechtsproblemen’; legal science is a science not of legal norms but of legal problems), </w:t>
      </w:r>
      <w:r>
        <w:rPr>
          <w:rFonts w:ascii="Calibri" w:eastAsia="Calibri" w:hAnsi="Calibri" w:cs="Calibri"/>
        </w:rPr>
        <w:t></w:t>
      </w:r>
      <w:r>
        <w:t xml:space="preserve"> (‘Rechtsvergleichung</w:t>
      </w:r>
      <w:r>
        <w:t xml:space="preserve"> ist Vergleichung von Lösungen eines einheitlichen Problems’; comparative law is the comparison of solutions to a uniform problem); for approval, see Radbruch, </w:t>
      </w:r>
      <w:r>
        <w:rPr>
          <w:i/>
        </w:rPr>
        <w:t>Rechtsphilosophie</w:t>
      </w:r>
      <w:r>
        <w:t xml:space="preserve"> (n </w:t>
      </w:r>
      <w:r>
        <w:rPr>
          <w:rFonts w:ascii="Calibri" w:eastAsia="Calibri" w:hAnsi="Calibri" w:cs="Calibri"/>
        </w:rPr>
        <w:t></w:t>
      </w:r>
      <w:r>
        <w:t xml:space="preserve">), </w:t>
      </w:r>
      <w:r>
        <w:rPr>
          <w:rFonts w:ascii="Calibri" w:eastAsia="Calibri" w:hAnsi="Calibri" w:cs="Calibri"/>
        </w:rPr>
        <w:t></w:t>
      </w:r>
      <w:r>
        <w:t xml:space="preserve"> n </w:t>
      </w:r>
      <w:r>
        <w:rPr>
          <w:rFonts w:ascii="Calibri" w:eastAsia="Calibri" w:hAnsi="Calibri" w:cs="Calibri"/>
        </w:rPr>
        <w:t></w:t>
      </w:r>
      <w:r>
        <w:t>; Schmittho</w:t>
      </w:r>
      <w:r>
        <w:rPr>
          <w:rFonts w:ascii="Calibri" w:eastAsia="Calibri" w:hAnsi="Calibri" w:cs="Calibri"/>
        </w:rPr>
        <w:t>ff</w:t>
      </w:r>
      <w:r>
        <w:t xml:space="preserve"> (n </w:t>
      </w:r>
      <w:r>
        <w:rPr>
          <w:rFonts w:ascii="Calibri" w:eastAsia="Calibri" w:hAnsi="Calibri" w:cs="Calibri"/>
        </w:rPr>
        <w:t></w:t>
      </w:r>
      <w:r>
        <w:t xml:space="preserve">), </w:t>
      </w:r>
      <w:r>
        <w:rPr>
          <w:rFonts w:ascii="Calibri" w:eastAsia="Calibri" w:hAnsi="Calibri" w:cs="Calibri"/>
        </w:rPr>
        <w:t></w:t>
      </w:r>
      <w:r>
        <w:t>; Willis Santiago Guerra Filho, ‘A dime</w:t>
      </w:r>
      <w:r>
        <w:t>nsão processual dos direitos fundamentais e da Constituição’, (</w:t>
      </w:r>
      <w:r>
        <w:rPr>
          <w:rFonts w:ascii="Calibri" w:eastAsia="Calibri" w:hAnsi="Calibri" w:cs="Calibri"/>
        </w:rPr>
        <w:t></w:t>
      </w:r>
      <w:r>
        <w:t xml:space="preserve">) </w:t>
      </w:r>
      <w:r>
        <w:rPr>
          <w:rFonts w:ascii="Calibri" w:eastAsia="Calibri" w:hAnsi="Calibri" w:cs="Calibri"/>
        </w:rPr>
        <w:t xml:space="preserve"> </w:t>
      </w:r>
      <w:r>
        <w:rPr>
          <w:i/>
        </w:rPr>
        <w:t>Revista de Informação Legislativa</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cf Otto Sandrock, </w:t>
      </w:r>
      <w:r>
        <w:rPr>
          <w:i/>
        </w:rPr>
        <w:t>Über Sinn und Methode zivilistischer Rechtsvergleichung</w:t>
      </w:r>
      <w:r>
        <w:t xml:space="preserve"> (</w:t>
      </w:r>
      <w:r>
        <w:rPr>
          <w:rFonts w:ascii="Calibri" w:eastAsia="Calibri" w:hAnsi="Calibri" w:cs="Calibri"/>
        </w:rPr>
        <w:t></w:t>
      </w:r>
      <w:r>
        <w:t xml:space="preserve">), </w:t>
      </w:r>
      <w:r>
        <w:rPr>
          <w:rFonts w:ascii="Calibri" w:eastAsia="Calibri" w:hAnsi="Calibri" w:cs="Calibri"/>
        </w:rPr>
        <w:t xml:space="preserve"> </w:t>
      </w:r>
      <w:r>
        <w:t>f.</w:t>
      </w:r>
    </w:p>
  </w:footnote>
  <w:footnote w:id="20">
    <w:p w:rsidR="007479CF" w:rsidRDefault="00CD28B5">
      <w:pPr>
        <w:pStyle w:val="footnotedescription"/>
        <w:spacing w:after="5" w:line="239" w:lineRule="auto"/>
        <w:ind w:right="6"/>
      </w:pPr>
      <w:r>
        <w:rPr>
          <w:rStyle w:val="footnotemark"/>
        </w:rPr>
        <w:footnoteRef/>
      </w:r>
      <w:r>
        <w:t xml:space="preserve"> Fritz von Hippel, </w:t>
      </w:r>
      <w:r>
        <w:rPr>
          <w:i/>
        </w:rPr>
        <w:t>Zur Gesetzmäßigkeit juristische</w:t>
      </w:r>
      <w:r>
        <w:rPr>
          <w:i/>
        </w:rPr>
        <w:t>r Systembildung</w:t>
      </w:r>
      <w:r>
        <w:t xml:space="preserve"> (</w:t>
      </w:r>
      <w:r>
        <w:rPr>
          <w:rFonts w:ascii="Calibri" w:eastAsia="Calibri" w:hAnsi="Calibri" w:cs="Calibri"/>
        </w:rPr>
        <w:t></w:t>
      </w:r>
      <w:r>
        <w:t xml:space="preserve">); Theodor Viehweg, </w:t>
      </w:r>
      <w:r>
        <w:rPr>
          <w:i/>
        </w:rPr>
        <w:t>Topik und Jurisprudenz</w:t>
      </w:r>
      <w:r>
        <w:t xml:space="preserve"> (</w:t>
      </w:r>
      <w:r>
        <w:rPr>
          <w:rFonts w:ascii="Calibri" w:eastAsia="Calibri" w:hAnsi="Calibri" w:cs="Calibri"/>
        </w:rPr>
        <w:t></w:t>
      </w:r>
      <w:r>
        <w:t xml:space="preserve">, </w:t>
      </w:r>
      <w:r>
        <w:rPr>
          <w:rFonts w:ascii="Calibri" w:eastAsia="Calibri" w:hAnsi="Calibri" w:cs="Calibri"/>
        </w:rPr>
        <w:t></w:t>
      </w:r>
      <w:r>
        <w:t xml:space="preserve">th edn, </w:t>
      </w:r>
      <w:r>
        <w:rPr>
          <w:rFonts w:ascii="Calibri" w:eastAsia="Calibri" w:hAnsi="Calibri" w:cs="Calibri"/>
        </w:rPr>
        <w:t></w:t>
      </w:r>
      <w:r>
        <w:t xml:space="preserve">; English translation under the title </w:t>
      </w:r>
      <w:r>
        <w:rPr>
          <w:i/>
        </w:rPr>
        <w:t>Topics and Law</w:t>
      </w:r>
      <w:r>
        <w:t xml:space="preserve"> by W. Cole Durham, </w:t>
      </w:r>
      <w:r>
        <w:rPr>
          <w:rFonts w:ascii="Calibri" w:eastAsia="Calibri" w:hAnsi="Calibri" w:cs="Calibri"/>
        </w:rPr>
        <w:t></w:t>
      </w:r>
      <w:r>
        <w:t>); Ernst A. Kramer, ‘Topik und Rechtsvergleichung’,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w:t>
      </w:r>
      <w:r>
        <w:rPr>
          <w:rFonts w:ascii="Calibri" w:eastAsia="Calibri" w:hAnsi="Calibri" w:cs="Calibri"/>
        </w:rPr>
        <w:t></w:t>
      </w:r>
      <w:r>
        <w:t>; for the history of l</w:t>
      </w:r>
      <w:r>
        <w:t xml:space="preserve">egal topics, see also Jan Schröder, </w:t>
      </w:r>
      <w:r>
        <w:rPr>
          <w:i/>
        </w:rPr>
        <w:t>Recht als Wissenschaft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with references at </w:t>
      </w:r>
      <w:r>
        <w:rPr>
          <w:rFonts w:ascii="Calibri" w:eastAsia="Calibri" w:hAnsi="Calibri" w:cs="Calibri"/>
        </w:rPr>
        <w:t xml:space="preserve"> </w:t>
      </w:r>
      <w:r>
        <w:t xml:space="preserve">n </w:t>
      </w:r>
      <w:r>
        <w:rPr>
          <w:rFonts w:ascii="Calibri" w:eastAsia="Calibri" w:hAnsi="Calibri" w:cs="Calibri"/>
        </w:rPr>
        <w:t></w:t>
      </w:r>
      <w:r>
        <w:t>.</w:t>
      </w:r>
    </w:p>
  </w:footnote>
  <w:footnote w:id="21">
    <w:p w:rsidR="007479CF" w:rsidRDefault="00CD28B5">
      <w:pPr>
        <w:pStyle w:val="footnotedescription"/>
        <w:spacing w:after="5" w:line="247" w:lineRule="auto"/>
        <w:ind w:right="1"/>
      </w:pPr>
      <w:r>
        <w:rPr>
          <w:rStyle w:val="footnotemark"/>
        </w:rPr>
        <w:footnoteRef/>
      </w:r>
      <w:r>
        <w:t xml:space="preserve"> Alois Troller, </w:t>
      </w:r>
      <w:r>
        <w:rPr>
          <w:i/>
        </w:rPr>
        <w:t>Überall gültige Prinzipien der Rechtswissenschaft</w:t>
      </w:r>
      <w:r>
        <w:t xml:space="preserve"> (</w:t>
      </w:r>
      <w:r>
        <w:rPr>
          <w:rFonts w:ascii="Calibri" w:eastAsia="Calibri" w:hAnsi="Calibri" w:cs="Calibri"/>
        </w:rPr>
        <w:t></w:t>
      </w:r>
      <w:r>
        <w:t xml:space="preserve">), especially at </w:t>
      </w:r>
      <w:r>
        <w:rPr>
          <w:rFonts w:ascii="Calibri" w:eastAsia="Calibri" w:hAnsi="Calibri" w:cs="Calibri"/>
        </w:rPr>
        <w:t></w:t>
      </w:r>
      <w:r>
        <w:t>–</w:t>
      </w:r>
      <w:r>
        <w:rPr>
          <w:rFonts w:ascii="Calibri" w:eastAsia="Calibri" w:hAnsi="Calibri" w:cs="Calibri"/>
        </w:rPr>
        <w:t></w:t>
      </w:r>
      <w:r>
        <w:t xml:space="preserve">; </w:t>
      </w:r>
      <w:r>
        <w:rPr>
          <w:i/>
        </w:rPr>
        <w:t>idem</w:t>
      </w:r>
      <w:r>
        <w:t>, ‘</w:t>
      </w:r>
      <w:r>
        <w:t xml:space="preserve">Rechtsvergleichung und Phänomenologie’, in Mario Rotondi (ed), </w:t>
      </w:r>
      <w:r>
        <w:rPr>
          <w:i/>
        </w:rPr>
        <w:t xml:space="preserve">Inchieste di diritto comparato, </w:t>
      </w:r>
      <w:r>
        <w:t xml:space="preserve">vol II: </w:t>
      </w:r>
      <w:r>
        <w:rPr>
          <w:i/>
        </w:rPr>
        <w:t>Buts et méthodes du droit comparé</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especially at </w:t>
      </w:r>
      <w:r>
        <w:rPr>
          <w:rFonts w:ascii="Calibri" w:eastAsia="Calibri" w:hAnsi="Calibri" w:cs="Calibri"/>
        </w:rPr>
        <w:t></w:t>
      </w:r>
      <w:r>
        <w:t>; both with references to functionalist comparatists.</w:t>
      </w:r>
    </w:p>
  </w:footnote>
  <w:footnote w:id="22">
    <w:p w:rsidR="007479CF" w:rsidRDefault="00CD28B5">
      <w:pPr>
        <w:pStyle w:val="footnotedescription"/>
        <w:spacing w:line="241" w:lineRule="auto"/>
        <w:ind w:right="1"/>
      </w:pPr>
      <w:r>
        <w:rPr>
          <w:rStyle w:val="footnotemark"/>
        </w:rPr>
        <w:footnoteRef/>
      </w:r>
      <w:r>
        <w:t xml:space="preserve"> Josef Esser, </w:t>
      </w:r>
      <w:r>
        <w:rPr>
          <w:i/>
        </w:rPr>
        <w:t>Grundsatz und No</w:t>
      </w:r>
      <w:r>
        <w:rPr>
          <w:i/>
        </w:rPr>
        <w:t>rm in der richterlichen Rechtsfortbildung</w:t>
      </w:r>
      <w:r>
        <w:t xml:space="preserve"> (</w:t>
      </w:r>
      <w:r>
        <w:rPr>
          <w:rFonts w:ascii="Calibri" w:eastAsia="Calibri" w:hAnsi="Calibri" w:cs="Calibri"/>
        </w:rPr>
        <w:t></w:t>
      </w:r>
      <w:r>
        <w:t xml:space="preserve">), especially at </w:t>
      </w:r>
      <w:r>
        <w:rPr>
          <w:rFonts w:ascii="Calibri" w:eastAsia="Calibri" w:hAnsi="Calibri" w:cs="Calibri"/>
        </w:rPr>
        <w:t> ff</w:t>
      </w:r>
      <w:r>
        <w:t xml:space="preserve">, </w:t>
      </w:r>
      <w:r>
        <w:rPr>
          <w:rFonts w:ascii="Calibri" w:eastAsia="Calibri" w:hAnsi="Calibri" w:cs="Calibri"/>
        </w:rPr>
        <w:t> ff</w:t>
      </w:r>
      <w:r>
        <w:t>. Unfortunately no English translation exists; for reviews in English, see Max Rheinstein (to whom Esser dedicated his book), (</w:t>
      </w:r>
      <w:r>
        <w:rPr>
          <w:rFonts w:ascii="Calibri" w:eastAsia="Calibri" w:hAnsi="Calibri" w:cs="Calibri"/>
        </w:rPr>
        <w:t></w:t>
      </w:r>
      <w:r>
        <w:t xml:space="preserve">) </w:t>
      </w:r>
      <w:r>
        <w:rPr>
          <w:rFonts w:ascii="Calibri" w:eastAsia="Calibri" w:hAnsi="Calibri" w:cs="Calibri"/>
        </w:rPr>
        <w:t></w:t>
      </w:r>
      <w:r>
        <w:t xml:space="preserve"> </w:t>
      </w:r>
      <w:r>
        <w:rPr>
          <w:i/>
        </w:rPr>
        <w:t>University of Chicago LR</w:t>
      </w:r>
      <w:r>
        <w:t xml:space="preserve"> </w:t>
      </w:r>
      <w:r>
        <w:rPr>
          <w:rFonts w:ascii="Calibri" w:eastAsia="Calibri" w:hAnsi="Calibri" w:cs="Calibri"/>
        </w:rPr>
        <w:t></w:t>
      </w:r>
      <w:r>
        <w:t>–</w:t>
      </w:r>
      <w:r>
        <w:rPr>
          <w:rFonts w:ascii="Calibri" w:eastAsia="Calibri" w:hAnsi="Calibri" w:cs="Calibri"/>
        </w:rPr>
        <w:t></w:t>
      </w:r>
      <w:r>
        <w:t xml:space="preserve">; Wolfgang </w:t>
      </w:r>
      <w:r>
        <w:t>G. Friedmann, (</w:t>
      </w:r>
      <w:r>
        <w:rPr>
          <w:rFonts w:ascii="Calibri" w:eastAsia="Calibri" w:hAnsi="Calibri" w:cs="Calibri"/>
        </w:rPr>
        <w:t></w:t>
      </w:r>
      <w:r>
        <w:t xml:space="preserve">) </w:t>
      </w:r>
      <w:r>
        <w:rPr>
          <w:rFonts w:ascii="Calibri" w:eastAsia="Calibri" w:hAnsi="Calibri" w:cs="Calibri"/>
        </w:rPr>
        <w:t></w:t>
      </w:r>
      <w:r>
        <w:t xml:space="preserve"> </w:t>
      </w:r>
      <w:r>
        <w:rPr>
          <w:i/>
        </w:rPr>
        <w:t>Columbia LR</w:t>
      </w:r>
      <w:r>
        <w:t xml:space="preserve"> </w:t>
      </w:r>
      <w:r>
        <w:rPr>
          <w:rFonts w:ascii="Calibri" w:eastAsia="Calibri" w:hAnsi="Calibri" w:cs="Calibri"/>
        </w:rPr>
        <w:t></w:t>
      </w:r>
      <w:r>
        <w:t>–</w:t>
      </w:r>
      <w:r>
        <w:rPr>
          <w:rFonts w:ascii="Calibri" w:eastAsia="Calibri" w:hAnsi="Calibri" w:cs="Calibri"/>
        </w:rPr>
        <w:t></w:t>
      </w:r>
      <w:r>
        <w:t>; Arthur T. von Mehren,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w:t>
      </w:r>
      <w:r>
        <w:rPr>
          <w:rFonts w:ascii="Calibri" w:eastAsia="Calibri" w:hAnsi="Calibri" w:cs="Calibri"/>
        </w:rPr>
        <w:t></w:t>
      </w:r>
      <w:r>
        <w:t xml:space="preserve">. For an application of Esser’s method by one of his students, see Dieter Rothoeft, </w:t>
      </w:r>
      <w:r>
        <w:rPr>
          <w:i/>
        </w:rPr>
        <w:t>System der Irrtumslehre als Methodenfrage der Rechtsvergleichung</w:t>
      </w:r>
      <w:r>
        <w:t xml:space="preserve"> (</w:t>
      </w:r>
      <w:r>
        <w:rPr>
          <w:rFonts w:ascii="Calibri" w:eastAsia="Calibri" w:hAnsi="Calibri" w:cs="Calibri"/>
        </w:rPr>
        <w:t></w:t>
      </w:r>
      <w:r>
        <w:t>).</w:t>
      </w:r>
    </w:p>
  </w:footnote>
  <w:footnote w:id="23">
    <w:p w:rsidR="007479CF" w:rsidRDefault="00CD28B5">
      <w:pPr>
        <w:pStyle w:val="footnotedescription"/>
        <w:spacing w:after="2" w:line="259" w:lineRule="auto"/>
        <w:ind w:left="175" w:firstLine="0"/>
        <w:jc w:val="left"/>
      </w:pPr>
      <w:r>
        <w:rPr>
          <w:rStyle w:val="footnotemark"/>
        </w:rPr>
        <w:footnoteRef/>
      </w:r>
      <w:r>
        <w:t xml:space="preserve"> Esser (n</w:t>
      </w:r>
      <w:r>
        <w:t xml:space="preserve"> </w:t>
      </w:r>
      <w:r>
        <w:rPr>
          <w:rFonts w:ascii="Calibri" w:eastAsia="Calibri" w:hAnsi="Calibri" w:cs="Calibri"/>
        </w:rPr>
        <w:t></w:t>
      </w:r>
      <w:r>
        <w:t xml:space="preserve">), ch </w:t>
      </w:r>
      <w:r>
        <w:rPr>
          <w:rFonts w:ascii="Calibri" w:eastAsia="Calibri" w:hAnsi="Calibri" w:cs="Calibri"/>
        </w:rPr>
        <w:t></w:t>
      </w:r>
      <w:r>
        <w:t>.</w:t>
      </w:r>
    </w:p>
  </w:footnote>
  <w:footnote w:id="24">
    <w:p w:rsidR="007479CF" w:rsidRDefault="00CD28B5">
      <w:pPr>
        <w:pStyle w:val="footnotedescription"/>
        <w:spacing w:line="243" w:lineRule="auto"/>
      </w:pPr>
      <w:r>
        <w:rPr>
          <w:rStyle w:val="footnotemark"/>
        </w:rPr>
        <w:footnoteRef/>
      </w:r>
      <w:r>
        <w:t xml:space="preserve"> James Gordley, ‘The Universalist Heritage’, in Legrand and Munday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w:t>
      </w:r>
      <w:r>
        <w:rPr>
          <w:i/>
        </w:rPr>
        <w:t>idem</w:t>
      </w:r>
      <w:r>
        <w:t xml:space="preserve">, </w:t>
      </w:r>
      <w:r>
        <w:rPr>
          <w:i/>
        </w:rPr>
        <w:t>The Foundations of Private Law: Property, Tort, Contract, Unjust Enrichment</w:t>
      </w:r>
      <w:r>
        <w:t xml:space="preserve"> (</w:t>
      </w:r>
      <w:r>
        <w:rPr>
          <w:rFonts w:ascii="Calibri" w:eastAsia="Calibri" w:hAnsi="Calibri" w:cs="Calibri"/>
        </w:rPr>
        <w:t></w:t>
      </w:r>
      <w:r>
        <w:t xml:space="preserve">), </w:t>
      </w:r>
      <w:r>
        <w:rPr>
          <w:rFonts w:ascii="Calibri" w:eastAsia="Calibri" w:hAnsi="Calibri" w:cs="Calibri"/>
        </w:rPr>
        <w:t> ff</w:t>
      </w:r>
      <w:r>
        <w:t>.</w:t>
      </w:r>
    </w:p>
  </w:footnote>
  <w:footnote w:id="25">
    <w:p w:rsidR="007479CF" w:rsidRDefault="00CD28B5">
      <w:pPr>
        <w:pStyle w:val="footnotedescription"/>
        <w:spacing w:line="259" w:lineRule="auto"/>
        <w:ind w:left="175" w:firstLine="0"/>
        <w:jc w:val="left"/>
      </w:pPr>
      <w:r>
        <w:rPr>
          <w:rStyle w:val="footnotemark"/>
        </w:rPr>
        <w:footnoteRef/>
      </w:r>
      <w:r>
        <w:t xml:space="preserve"> See eg, James Gordley, ‘</w:t>
      </w:r>
      <w:r>
        <w:t>Is Comparative Law a Distinct Discipline?’,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w:t>
      </w:r>
      <w:r>
        <w:rPr>
          <w:rFonts w:ascii="Calibri" w:eastAsia="Calibri" w:hAnsi="Calibri" w:cs="Calibri"/>
        </w:rPr>
        <w:t></w:t>
      </w:r>
      <w:r>
        <w:t>.</w:t>
      </w:r>
    </w:p>
  </w:footnote>
  <w:footnote w:id="26">
    <w:p w:rsidR="007479CF" w:rsidRDefault="00CD28B5">
      <w:pPr>
        <w:pStyle w:val="footnotedescription"/>
        <w:spacing w:after="8" w:line="247" w:lineRule="auto"/>
        <w:ind w:right="5"/>
      </w:pPr>
      <w:r>
        <w:rPr>
          <w:rStyle w:val="footnotemark"/>
        </w:rPr>
        <w:footnoteRef/>
      </w:r>
      <w:r>
        <w:t xml:space="preserve"> Émile Durkheim, </w:t>
      </w:r>
      <w:r>
        <w:rPr>
          <w:i/>
        </w:rPr>
        <w:t>Les règles de la méthode sociologique</w:t>
      </w:r>
      <w:r>
        <w:t xml:space="preserve"> (</w:t>
      </w:r>
      <w:r>
        <w:rPr>
          <w:rFonts w:ascii="Calibri" w:eastAsia="Calibri" w:hAnsi="Calibri" w:cs="Calibri"/>
        </w:rPr>
        <w:t></w:t>
      </w:r>
      <w:r>
        <w:t xml:space="preserve">th edn, </w:t>
      </w:r>
      <w:r>
        <w:rPr>
          <w:rFonts w:ascii="Calibri" w:eastAsia="Calibri" w:hAnsi="Calibri" w:cs="Calibri"/>
        </w:rPr>
        <w:t></w:t>
      </w:r>
      <w:r>
        <w:t xml:space="preserve">, originally published in </w:t>
      </w:r>
      <w:r>
        <w:rPr>
          <w:rFonts w:ascii="Calibri" w:eastAsia="Calibri" w:hAnsi="Calibri" w:cs="Calibri"/>
        </w:rPr>
        <w:t></w:t>
      </w:r>
      <w:r>
        <w:t>–</w:t>
      </w:r>
      <w:r>
        <w:rPr>
          <w:rFonts w:ascii="Calibri" w:eastAsia="Calibri" w:hAnsi="Calibri" w:cs="Calibri"/>
        </w:rPr>
        <w:t></w:t>
      </w:r>
      <w:r>
        <w:t xml:space="preserve">), </w:t>
      </w:r>
      <w:r>
        <w:rPr>
          <w:rFonts w:ascii="Calibri" w:eastAsia="Calibri" w:hAnsi="Calibri" w:cs="Calibri"/>
        </w:rPr>
        <w:t></w:t>
      </w:r>
      <w:r>
        <w:t xml:space="preserve">: ‘Nous nous servons du mot de fonction de préférence à celui de </w:t>
      </w:r>
      <w:r>
        <w:rPr>
          <w:rFonts w:ascii="Calibri" w:eastAsia="Calibri" w:hAnsi="Calibri" w:cs="Calibri"/>
        </w:rPr>
        <w:t>fi</w:t>
      </w:r>
      <w:r>
        <w:t>n ou de but, p</w:t>
      </w:r>
      <w:r>
        <w:t>récisément parce que les phénomènes sociaux n’existent généralement pas en vue des résultats utiles qu’ils produisent’ (we use the word function rather than that of end or goal precisely because social phenomena do not generally exist in view of the useful</w:t>
      </w:r>
      <w:r>
        <w:t xml:space="preserve"> results they produce).</w:t>
      </w:r>
    </w:p>
  </w:footnote>
  <w:footnote w:id="27">
    <w:p w:rsidR="007479CF" w:rsidRDefault="00CD28B5">
      <w:pPr>
        <w:pStyle w:val="footnotedescription"/>
        <w:spacing w:line="252" w:lineRule="auto"/>
        <w:ind w:right="5"/>
      </w:pPr>
      <w:r>
        <w:rPr>
          <w:rStyle w:val="footnotemark"/>
        </w:rPr>
        <w:footnoteRef/>
      </w:r>
      <w:r>
        <w:t xml:space="preserve"> Durkheim (n </w:t>
      </w:r>
      <w:r>
        <w:rPr>
          <w:rFonts w:ascii="Calibri" w:eastAsia="Calibri" w:hAnsi="Calibri" w:cs="Calibri"/>
        </w:rPr>
        <w:t></w:t>
      </w:r>
      <w:r>
        <w:t xml:space="preserve">), </w:t>
      </w:r>
      <w:r>
        <w:rPr>
          <w:rFonts w:ascii="Calibri" w:eastAsia="Calibri" w:hAnsi="Calibri" w:cs="Calibri"/>
        </w:rPr>
        <w:t></w:t>
      </w:r>
      <w:r>
        <w:t>: ‘Faire voir à quoi un fait est utile n’est pas expliquer comment il est né ni comment il est ce qu’il est’ (showing for what a fact is useful is not the same as explaining how it comes about nor why it is the</w:t>
      </w:r>
      <w:r>
        <w:t xml:space="preserve"> way it is).</w:t>
      </w:r>
    </w:p>
  </w:footnote>
  <w:footnote w:id="28">
    <w:p w:rsidR="007479CF" w:rsidRDefault="00CD28B5">
      <w:pPr>
        <w:pStyle w:val="footnotedescription"/>
        <w:spacing w:line="257" w:lineRule="auto"/>
      </w:pPr>
      <w:r>
        <w:rPr>
          <w:rStyle w:val="footnotemark"/>
        </w:rPr>
        <w:footnoteRef/>
      </w:r>
      <w:r>
        <w:t xml:space="preserve"> This is in dispute; for Darwin’s own views of Aristotle (whom he discovered late in life), see Allan Gotthelf, ‘Darwin on Aristotle’, (</w:t>
      </w:r>
      <w:r>
        <w:rPr>
          <w:rFonts w:ascii="Calibri" w:eastAsia="Calibri" w:hAnsi="Calibri" w:cs="Calibri"/>
        </w:rPr>
        <w:t></w:t>
      </w:r>
      <w:r>
        <w:t xml:space="preserve">) </w:t>
      </w:r>
      <w:r>
        <w:rPr>
          <w:rFonts w:ascii="Calibri" w:eastAsia="Calibri" w:hAnsi="Calibri" w:cs="Calibri"/>
        </w:rPr>
        <w:t></w:t>
      </w:r>
      <w:r>
        <w:t xml:space="preserve"> </w:t>
      </w:r>
      <w:r>
        <w:rPr>
          <w:i/>
        </w:rPr>
        <w:t>Journal of the History of Biology</w:t>
      </w:r>
      <w:r>
        <w:t xml:space="preserve"> </w:t>
      </w:r>
      <w:r>
        <w:rPr>
          <w:rFonts w:ascii="Calibri" w:eastAsia="Calibri" w:hAnsi="Calibri" w:cs="Calibri"/>
        </w:rPr>
        <w:t></w:t>
      </w:r>
      <w:r>
        <w:t>–</w:t>
      </w:r>
      <w:r>
        <w:rPr>
          <w:rFonts w:ascii="Calibri" w:eastAsia="Calibri" w:hAnsi="Calibri" w:cs="Calibri"/>
        </w:rPr>
        <w:t></w:t>
      </w:r>
      <w:r>
        <w:t>.</w:t>
      </w:r>
    </w:p>
  </w:footnote>
  <w:footnote w:id="29">
    <w:p w:rsidR="007479CF" w:rsidRDefault="00CD28B5">
      <w:pPr>
        <w:pStyle w:val="footnotedescription"/>
        <w:spacing w:line="239" w:lineRule="auto"/>
      </w:pPr>
      <w:r>
        <w:rPr>
          <w:rStyle w:val="footnotemark"/>
        </w:rPr>
        <w:footnoteRef/>
      </w:r>
      <w:r>
        <w:t xml:space="preserve"> Rudolf von Jhering, </w:t>
      </w:r>
      <w:r>
        <w:rPr>
          <w:i/>
        </w:rPr>
        <w:t>Der Zweck im Recht</w:t>
      </w:r>
      <w:r>
        <w:t xml:space="preserve"> (</w:t>
      </w:r>
      <w:r>
        <w:rPr>
          <w:rFonts w:ascii="Calibri" w:eastAsia="Calibri" w:hAnsi="Calibri" w:cs="Calibri"/>
        </w:rPr>
        <w:t></w:t>
      </w:r>
      <w:r>
        <w:t>–</w:t>
      </w:r>
      <w:r>
        <w:rPr>
          <w:rFonts w:ascii="Calibri" w:eastAsia="Calibri" w:hAnsi="Calibri" w:cs="Calibri"/>
        </w:rPr>
        <w:t></w:t>
      </w:r>
      <w:r>
        <w:t>; Englis</w:t>
      </w:r>
      <w:r>
        <w:t xml:space="preserve">h translation under the title </w:t>
      </w:r>
      <w:r>
        <w:rPr>
          <w:i/>
        </w:rPr>
        <w:t>Law as a Means to an End</w:t>
      </w:r>
      <w:r>
        <w:t xml:space="preserve"> by Isaac Husik, </w:t>
      </w:r>
      <w:r>
        <w:rPr>
          <w:rFonts w:ascii="Calibri" w:eastAsia="Calibri" w:hAnsi="Calibri" w:cs="Calibri"/>
        </w:rPr>
        <w:t></w:t>
      </w:r>
      <w:r>
        <w:t xml:space="preserve">); </w:t>
      </w:r>
      <w:r>
        <w:rPr>
          <w:i/>
        </w:rPr>
        <w:t>idem</w:t>
      </w:r>
      <w:r>
        <w:t>, Der Kampf ums Recht (</w:t>
      </w:r>
      <w:r>
        <w:rPr>
          <w:rFonts w:ascii="Calibri" w:eastAsia="Calibri" w:hAnsi="Calibri" w:cs="Calibri"/>
        </w:rPr>
        <w:t></w:t>
      </w:r>
      <w:r>
        <w:t xml:space="preserve">; English translation under the title </w:t>
      </w:r>
      <w:r>
        <w:rPr>
          <w:i/>
        </w:rPr>
        <w:t>The Struggle for</w:t>
      </w:r>
      <w:r>
        <w:t xml:space="preserve"> Law by John J. Lalor, </w:t>
      </w:r>
      <w:r>
        <w:rPr>
          <w:rFonts w:ascii="Calibri" w:eastAsia="Calibri" w:hAnsi="Calibri" w:cs="Calibri"/>
        </w:rPr>
        <w:t></w:t>
      </w:r>
      <w:r>
        <w:t xml:space="preserve">); on Jhering’s concept of evolution see Okko Behrends (ed), </w:t>
      </w:r>
      <w:r>
        <w:rPr>
          <w:i/>
        </w:rPr>
        <w:t>Priva</w:t>
      </w:r>
      <w:r>
        <w:rPr>
          <w:i/>
        </w:rPr>
        <w:t>trecht heute und Jherings evolutionäres Rechtsdenken</w:t>
      </w:r>
      <w:r>
        <w:t xml:space="preserve"> (</w:t>
      </w:r>
      <w:r>
        <w:rPr>
          <w:rFonts w:ascii="Calibri" w:eastAsia="Calibri" w:hAnsi="Calibri" w:cs="Calibri"/>
        </w:rPr>
        <w:t></w:t>
      </w:r>
      <w:r>
        <w:t xml:space="preserve">); Marc Amstutz, </w:t>
      </w:r>
      <w:r>
        <w:rPr>
          <w:i/>
        </w:rPr>
        <w:t>Evolutorisches Wirtschaftsrecht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30">
    <w:p w:rsidR="007479CF" w:rsidRDefault="00CD28B5">
      <w:pPr>
        <w:pStyle w:val="footnotedescription"/>
        <w:spacing w:line="248" w:lineRule="auto"/>
        <w:jc w:val="left"/>
      </w:pPr>
      <w:r>
        <w:rPr>
          <w:rStyle w:val="footnotemark"/>
        </w:rPr>
        <w:footnoteRef/>
      </w:r>
      <w:r>
        <w:t xml:space="preserve"> Konrad Zweigert and Kurt Siehr, ‘Jhering’s In</w:t>
      </w:r>
      <w:r>
        <w:rPr>
          <w:rFonts w:ascii="Calibri" w:eastAsia="Calibri" w:hAnsi="Calibri" w:cs="Calibri"/>
        </w:rPr>
        <w:t>fl</w:t>
      </w:r>
      <w:r>
        <w:t>uence on the Development of Comparative Legal Method’,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w:t>
      </w:r>
      <w:r>
        <w:rPr>
          <w:rFonts w:ascii="Calibri" w:eastAsia="Calibri" w:hAnsi="Calibri" w:cs="Calibri"/>
        </w:rPr>
        <w:t></w:t>
      </w:r>
      <w:r>
        <w:t>.</w:t>
      </w:r>
    </w:p>
  </w:footnote>
  <w:footnote w:id="31">
    <w:p w:rsidR="007479CF" w:rsidRDefault="00CD28B5">
      <w:pPr>
        <w:pStyle w:val="footnotedescription"/>
        <w:tabs>
          <w:tab w:val="center" w:pos="2375"/>
          <w:tab w:val="center" w:pos="5877"/>
        </w:tabs>
        <w:spacing w:after="4" w:line="259" w:lineRule="auto"/>
        <w:ind w:firstLine="0"/>
        <w:jc w:val="left"/>
      </w:pPr>
      <w:r>
        <w:rPr>
          <w:rStyle w:val="footnotemark"/>
        </w:rPr>
        <w:footnoteRef/>
      </w:r>
      <w:r>
        <w:t xml:space="preserve"> </w:t>
      </w:r>
      <w:r>
        <w:t xml:space="preserve">cf Franz von Liszt, </w:t>
      </w:r>
      <w:r>
        <w:rPr>
          <w:i/>
        </w:rPr>
        <w:t>Der Zweckgedanke im Strafrecht</w:t>
      </w:r>
      <w:r>
        <w:t xml:space="preserve"> (</w:t>
      </w:r>
      <w:r>
        <w:rPr>
          <w:rFonts w:ascii="Calibri" w:eastAsia="Calibri" w:hAnsi="Calibri" w:cs="Calibri"/>
        </w:rPr>
        <w:t></w:t>
      </w:r>
      <w:r>
        <w:t>–</w:t>
      </w:r>
      <w:r>
        <w:rPr>
          <w:rFonts w:ascii="Calibri" w:eastAsia="Calibri" w:hAnsi="Calibri" w:cs="Calibri"/>
        </w:rPr>
        <w:t></w:t>
      </w:r>
      <w:r>
        <w:t>).</w:t>
      </w:r>
      <w:r>
        <w:tab/>
      </w:r>
      <w:r>
        <w:rPr>
          <w:b/>
          <w:vertAlign w:val="superscript"/>
        </w:rPr>
        <w:t xml:space="preserve">35 </w:t>
      </w:r>
      <w:r>
        <w:t xml:space="preserve">von Liszt (n </w:t>
      </w:r>
      <w:r>
        <w:rPr>
          <w:rFonts w:ascii="Calibri" w:eastAsia="Calibri" w:hAnsi="Calibri" w:cs="Calibri"/>
        </w:rPr>
        <w:t></w:t>
      </w:r>
      <w:r>
        <w:t xml:space="preserve">), </w:t>
      </w:r>
      <w:r>
        <w:rPr>
          <w:rFonts w:ascii="Calibri" w:eastAsia="Calibri" w:hAnsi="Calibri" w:cs="Calibri"/>
        </w:rPr>
        <w:t></w:t>
      </w:r>
      <w:r>
        <w:t>.</w:t>
      </w:r>
    </w:p>
  </w:footnote>
  <w:footnote w:id="32">
    <w:p w:rsidR="007479CF" w:rsidRDefault="00CD28B5">
      <w:pPr>
        <w:pStyle w:val="footnotedescription"/>
        <w:spacing w:line="237" w:lineRule="auto"/>
      </w:pPr>
      <w:r>
        <w:rPr>
          <w:rStyle w:val="footnotemark"/>
        </w:rPr>
        <w:footnoteRef/>
      </w:r>
      <w:r>
        <w:t xml:space="preserve"> Philipp Heck, </w:t>
      </w:r>
      <w:r>
        <w:rPr>
          <w:i/>
        </w:rPr>
        <w:t>Begri</w:t>
      </w:r>
      <w:r>
        <w:rPr>
          <w:rFonts w:ascii="Calibri" w:eastAsia="Calibri" w:hAnsi="Calibri" w:cs="Calibri"/>
          <w:i/>
        </w:rPr>
        <w:t>ff</w:t>
      </w:r>
      <w:r>
        <w:rPr>
          <w:i/>
        </w:rPr>
        <w:t>sbildung und Interessenjurisprudenz</w:t>
      </w:r>
      <w:r>
        <w:t xml:space="preserve"> (</w:t>
      </w:r>
      <w:r>
        <w:rPr>
          <w:rFonts w:ascii="Calibri" w:eastAsia="Calibri" w:hAnsi="Calibri" w:cs="Calibri"/>
        </w:rPr>
        <w:t></w:t>
      </w:r>
      <w:r>
        <w:t xml:space="preserve">), </w:t>
      </w:r>
      <w:r>
        <w:rPr>
          <w:rFonts w:ascii="Calibri" w:eastAsia="Calibri" w:hAnsi="Calibri" w:cs="Calibri"/>
        </w:rPr>
        <w:t xml:space="preserve"> </w:t>
      </w:r>
      <w:r>
        <w:t xml:space="preserve">f; </w:t>
      </w:r>
      <w:r>
        <w:rPr>
          <w:i/>
        </w:rPr>
        <w:t>idem, Grundriss des Schuldrechts</w:t>
      </w:r>
      <w:r>
        <w:t xml:space="preserve"> (</w:t>
      </w:r>
      <w:r>
        <w:rPr>
          <w:rFonts w:ascii="Calibri" w:eastAsia="Calibri" w:hAnsi="Calibri" w:cs="Calibri"/>
        </w:rPr>
        <w:t></w:t>
      </w:r>
      <w:r>
        <w:t xml:space="preserve">), </w:t>
      </w:r>
      <w:r>
        <w:rPr>
          <w:rFonts w:ascii="Calibri" w:eastAsia="Calibri" w:hAnsi="Calibri" w:cs="Calibri"/>
        </w:rPr>
        <w:t></w:t>
      </w:r>
      <w:r>
        <w:t>: ‘Die nationalen Rechte unterscheiden sich weniger i</w:t>
      </w:r>
      <w:r>
        <w:t>n der Entscheidung der Interessenkon</w:t>
      </w:r>
      <w:r>
        <w:rPr>
          <w:rFonts w:ascii="Calibri" w:eastAsia="Calibri" w:hAnsi="Calibri" w:cs="Calibri"/>
        </w:rPr>
        <w:t>fl</w:t>
      </w:r>
      <w:r>
        <w:t>ikte als in den angewendeten Gebotsbegri</w:t>
      </w:r>
      <w:r>
        <w:rPr>
          <w:rFonts w:ascii="Calibri" w:eastAsia="Calibri" w:hAnsi="Calibri" w:cs="Calibri"/>
        </w:rPr>
        <w:t>ff</w:t>
      </w:r>
      <w:r>
        <w:t xml:space="preserve">en und Gebotssystemen. Auch in dieser Hinsicht </w:t>
      </w:r>
      <w:r>
        <w:rPr>
          <w:rFonts w:ascii="Calibri" w:eastAsia="Calibri" w:hAnsi="Calibri" w:cs="Calibri"/>
        </w:rPr>
        <w:t>fi</w:t>
      </w:r>
      <w:r>
        <w:t>ndet sich eine Aequivalenz der Konstruktionen und der Gebotssysteme. Die Verlegung des Schwergewichts auf die Interessenwirkung</w:t>
      </w:r>
      <w:r>
        <w:t xml:space="preserve"> verringert den Gegensatz.’ (National legal systems di</w:t>
      </w:r>
      <w:r>
        <w:rPr>
          <w:rFonts w:ascii="Calibri" w:eastAsia="Calibri" w:hAnsi="Calibri" w:cs="Calibri"/>
        </w:rPr>
        <w:t>ff</w:t>
      </w:r>
      <w:r>
        <w:t>er from each other less in how they decide between con</w:t>
      </w:r>
      <w:r>
        <w:rPr>
          <w:rFonts w:ascii="Calibri" w:eastAsia="Calibri" w:hAnsi="Calibri" w:cs="Calibri"/>
        </w:rPr>
        <w:t>fl</w:t>
      </w:r>
      <w:r>
        <w:t xml:space="preserve">icting interests but rather in the norms and normative systems they apply. In this way, too, we </w:t>
      </w:r>
      <w:r>
        <w:rPr>
          <w:rFonts w:ascii="Calibri" w:eastAsia="Calibri" w:hAnsi="Calibri" w:cs="Calibri"/>
        </w:rPr>
        <w:t>fi</w:t>
      </w:r>
      <w:r>
        <w:t>nd equivalence of constructions and systems. M</w:t>
      </w:r>
      <w:r>
        <w:t>oving the emphasis on interests reduces the di</w:t>
      </w:r>
      <w:r>
        <w:rPr>
          <w:rFonts w:ascii="Calibri" w:eastAsia="Calibri" w:hAnsi="Calibri" w:cs="Calibri"/>
        </w:rPr>
        <w:t>ff</w:t>
      </w:r>
      <w:r>
        <w:t>erence.) Heck was inspired by a review of his</w:t>
      </w:r>
    </w:p>
  </w:footnote>
  <w:footnote w:id="33">
    <w:p w:rsidR="007479CF" w:rsidRDefault="00CD28B5">
      <w:pPr>
        <w:pStyle w:val="footnotedescription"/>
        <w:spacing w:line="246" w:lineRule="auto"/>
      </w:pPr>
      <w:r>
        <w:rPr>
          <w:rStyle w:val="footnotemark"/>
        </w:rPr>
        <w:footnoteRef/>
      </w:r>
      <w:r>
        <w:t xml:space="preserve"> Roscoe Pound, ‘Law in the Books and Law in Action’, (</w:t>
      </w:r>
      <w:r>
        <w:rPr>
          <w:rFonts w:ascii="Calibri" w:eastAsia="Calibri" w:hAnsi="Calibri" w:cs="Calibri"/>
        </w:rPr>
        <w:t></w:t>
      </w:r>
      <w:r>
        <w:t xml:space="preserve">) </w:t>
      </w:r>
      <w:r>
        <w:rPr>
          <w:rFonts w:ascii="Calibri" w:eastAsia="Calibri" w:hAnsi="Calibri" w:cs="Calibri"/>
        </w:rPr>
        <w:t></w:t>
      </w:r>
      <w:r>
        <w:t xml:space="preserve"> </w:t>
      </w:r>
      <w:r>
        <w:rPr>
          <w:i/>
        </w:rPr>
        <w:t>American LR</w:t>
      </w:r>
      <w:r>
        <w:t xml:space="preserve"> </w:t>
      </w:r>
      <w:r>
        <w:rPr>
          <w:rFonts w:ascii="Calibri" w:eastAsia="Calibri" w:hAnsi="Calibri" w:cs="Calibri"/>
        </w:rPr>
        <w:t></w:t>
      </w:r>
      <w:r>
        <w:t>–</w:t>
      </w:r>
      <w:r>
        <w:rPr>
          <w:rFonts w:ascii="Calibri" w:eastAsia="Calibri" w:hAnsi="Calibri" w:cs="Calibri"/>
        </w:rPr>
        <w:t></w:t>
      </w:r>
      <w:r>
        <w:t xml:space="preserve">; cf Karl H. Neumayer, ‘Fremdes Recht aus Büchern, fremde Rechtswirklichkeit und </w:t>
      </w:r>
      <w:r>
        <w:t>die funktionelle Dimension in den Methoden der Rechtsvergleichung’,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w:t>
      </w:r>
      <w:r>
        <w:rPr>
          <w:rFonts w:ascii="Calibri" w:eastAsia="Calibri" w:hAnsi="Calibri" w:cs="Calibri"/>
        </w:rPr>
        <w:t></w:t>
      </w:r>
      <w:r>
        <w:t>.</w:t>
      </w:r>
    </w:p>
  </w:footnote>
  <w:footnote w:id="34">
    <w:p w:rsidR="007479CF" w:rsidRDefault="00CD28B5">
      <w:pPr>
        <w:pStyle w:val="footnotedescription"/>
        <w:spacing w:line="259" w:lineRule="auto"/>
        <w:ind w:left="175" w:firstLine="0"/>
        <w:jc w:val="left"/>
      </w:pPr>
      <w:r>
        <w:rPr>
          <w:rStyle w:val="footnotemark"/>
        </w:rPr>
        <w:footnoteRef/>
      </w:r>
      <w:r>
        <w:t xml:space="preserve"> Roscoe Pound, ‘What May We Expect from Comparative Law?, (</w:t>
      </w:r>
      <w:r>
        <w:rPr>
          <w:rFonts w:ascii="Calibri" w:eastAsia="Calibri" w:hAnsi="Calibri" w:cs="Calibri"/>
        </w:rPr>
        <w:t></w:t>
      </w:r>
      <w:r>
        <w:t xml:space="preserve">) </w:t>
      </w:r>
      <w:r>
        <w:rPr>
          <w:rFonts w:ascii="Calibri" w:eastAsia="Calibri" w:hAnsi="Calibri" w:cs="Calibri"/>
        </w:rPr>
        <w:t></w:t>
      </w:r>
      <w:r>
        <w:t xml:space="preserve"> </w:t>
      </w:r>
      <w:r>
        <w:rPr>
          <w:i/>
        </w:rPr>
        <w:t>ABAJ</w:t>
      </w:r>
      <w:r>
        <w:t xml:space="preserve"> </w:t>
      </w:r>
      <w:r>
        <w:rPr>
          <w:rFonts w:ascii="Calibri" w:eastAsia="Calibri" w:hAnsi="Calibri" w:cs="Calibri"/>
        </w:rPr>
        <w:t></w:t>
      </w:r>
      <w:r>
        <w:t xml:space="preserve">, </w:t>
      </w:r>
      <w:r>
        <w:rPr>
          <w:rFonts w:ascii="Calibri" w:eastAsia="Calibri" w:hAnsi="Calibri" w:cs="Calibri"/>
        </w:rPr>
        <w:t></w:t>
      </w:r>
      <w:r>
        <w:t>.</w:t>
      </w:r>
    </w:p>
  </w:footnote>
  <w:footnote w:id="35">
    <w:p w:rsidR="007479CF" w:rsidRDefault="00CD28B5">
      <w:pPr>
        <w:pStyle w:val="footnotedescription"/>
        <w:spacing w:after="2" w:line="244" w:lineRule="auto"/>
        <w:ind w:right="5"/>
      </w:pPr>
      <w:r>
        <w:rPr>
          <w:rStyle w:val="footnotemark"/>
        </w:rPr>
        <w:footnoteRef/>
      </w:r>
      <w:r>
        <w:t xml:space="preserve"> David Mitrany, </w:t>
      </w:r>
      <w:r>
        <w:rPr>
          <w:i/>
        </w:rPr>
        <w:t>A Working Peace System: An Argument for the Functional Development of International Organization</w:t>
      </w:r>
      <w:r>
        <w:t xml:space="preserve"> (</w:t>
      </w:r>
      <w:r>
        <w:rPr>
          <w:rFonts w:ascii="Calibri" w:eastAsia="Calibri" w:hAnsi="Calibri" w:cs="Calibri"/>
        </w:rPr>
        <w:t></w:t>
      </w:r>
      <w:r>
        <w:t xml:space="preserve">); Ernst B. Haas, </w:t>
      </w:r>
      <w:r>
        <w:rPr>
          <w:i/>
        </w:rPr>
        <w:t>Beyond the Nation-State: Functionalism and International Organization</w:t>
      </w:r>
      <w:r>
        <w:t xml:space="preserve"> (</w:t>
      </w:r>
      <w:r>
        <w:rPr>
          <w:rFonts w:ascii="Calibri" w:eastAsia="Calibri" w:hAnsi="Calibri" w:cs="Calibri"/>
        </w:rPr>
        <w:t></w:t>
      </w:r>
      <w:r>
        <w:t>); David Long and Lucian M. Ashworth, ‘Working for Peace: the</w:t>
      </w:r>
      <w:r>
        <w:t xml:space="preserve"> Functional Approach, Functionalism and Beyond’, in </w:t>
      </w:r>
      <w:r>
        <w:rPr>
          <w:i/>
        </w:rPr>
        <w:t>idem</w:t>
      </w:r>
      <w:r>
        <w:t xml:space="preserve"> (eds), </w:t>
      </w:r>
      <w:r>
        <w:rPr>
          <w:i/>
        </w:rPr>
        <w:t xml:space="preserve">New Perspectives on International Functionalism </w:t>
      </w:r>
      <w:r>
        <w:t>(</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Jürg Martin Gabriel, ‘Die Renaissance des Funktionalismus’, (</w:t>
      </w:r>
      <w:r>
        <w:rPr>
          <w:rFonts w:ascii="Calibri" w:eastAsia="Calibri" w:hAnsi="Calibri" w:cs="Calibri"/>
        </w:rPr>
        <w:t></w:t>
      </w:r>
      <w:r>
        <w:t xml:space="preserve">) </w:t>
      </w:r>
      <w:r>
        <w:rPr>
          <w:rFonts w:ascii="Calibri" w:eastAsia="Calibri" w:hAnsi="Calibri" w:cs="Calibri"/>
        </w:rPr>
        <w:t></w:t>
      </w:r>
      <w:r>
        <w:t xml:space="preserve"> </w:t>
      </w:r>
      <w:r>
        <w:rPr>
          <w:i/>
        </w:rPr>
        <w:t xml:space="preserve">Aussenwirtschaft </w:t>
      </w:r>
      <w:r>
        <w:rPr>
          <w:rFonts w:ascii="Calibri" w:eastAsia="Calibri" w:hAnsi="Calibri" w:cs="Calibri"/>
        </w:rPr>
        <w:t></w:t>
      </w:r>
      <w:r>
        <w:t>–</w:t>
      </w:r>
      <w:r>
        <w:rPr>
          <w:rFonts w:ascii="Calibri" w:eastAsia="Calibri" w:hAnsi="Calibri" w:cs="Calibri"/>
        </w:rPr>
        <w:t></w:t>
      </w:r>
      <w:r>
        <w:t>.</w:t>
      </w:r>
    </w:p>
  </w:footnote>
  <w:footnote w:id="36">
    <w:p w:rsidR="007479CF" w:rsidRDefault="00CD28B5">
      <w:pPr>
        <w:pStyle w:val="footnotedescription"/>
        <w:spacing w:after="1" w:line="242" w:lineRule="auto"/>
      </w:pPr>
      <w:r>
        <w:rPr>
          <w:rStyle w:val="footnotemark"/>
        </w:rPr>
        <w:footnoteRef/>
      </w:r>
      <w:r>
        <w:t xml:space="preserve"> Robert W. Gordon, ‘Critical Legal</w:t>
      </w:r>
      <w:r>
        <w:t xml:space="preserve"> Histories’, (</w:t>
      </w:r>
      <w:r>
        <w:rPr>
          <w:rFonts w:ascii="Calibri" w:eastAsia="Calibri" w:hAnsi="Calibri" w:cs="Calibri"/>
        </w:rPr>
        <w:t></w:t>
      </w:r>
      <w:r>
        <w:t xml:space="preserve">) </w:t>
      </w:r>
      <w:r>
        <w:rPr>
          <w:rFonts w:ascii="Calibri" w:eastAsia="Calibri" w:hAnsi="Calibri" w:cs="Calibri"/>
        </w:rPr>
        <w:t></w:t>
      </w:r>
      <w:r>
        <w:t xml:space="preserve"> </w:t>
      </w:r>
      <w:r>
        <w:rPr>
          <w:i/>
        </w:rPr>
        <w:t>Stanford LR</w:t>
      </w:r>
      <w:r>
        <w:t xml:space="preserve"> </w:t>
      </w:r>
      <w:r>
        <w:rPr>
          <w:rFonts w:ascii="Calibri" w:eastAsia="Calibri" w:hAnsi="Calibri" w:cs="Calibri"/>
        </w:rPr>
        <w:t></w:t>
      </w:r>
      <w:r>
        <w:t>–</w:t>
      </w:r>
      <w:r>
        <w:rPr>
          <w:rFonts w:ascii="Calibri" w:eastAsia="Calibri" w:hAnsi="Calibri" w:cs="Calibri"/>
        </w:rPr>
        <w:t></w:t>
      </w:r>
      <w:r>
        <w:t>; Günter Frankenberg, ‘Critical Comparisons: Re-thinking Comparative Law’, (</w:t>
      </w:r>
      <w:r>
        <w:rPr>
          <w:rFonts w:ascii="Calibri" w:eastAsia="Calibri" w:hAnsi="Calibri" w:cs="Calibri"/>
        </w:rPr>
        <w:t></w:t>
      </w:r>
      <w:r>
        <w:t xml:space="preserve">) </w:t>
      </w:r>
      <w:r>
        <w:rPr>
          <w:rFonts w:ascii="Calibri" w:eastAsia="Calibri" w:hAnsi="Calibri" w:cs="Calibri"/>
        </w:rPr>
        <w:t></w:t>
      </w:r>
      <w:r>
        <w:t xml:space="preserve"> </w:t>
      </w:r>
      <w:r>
        <w:rPr>
          <w:i/>
        </w:rPr>
        <w:t>Harvard International LJ</w:t>
      </w:r>
      <w:r>
        <w:t xml:space="preserve"> </w:t>
      </w:r>
      <w:r>
        <w:rPr>
          <w:rFonts w:ascii="Calibri" w:eastAsia="Calibri" w:hAnsi="Calibri" w:cs="Calibri"/>
        </w:rPr>
        <w:t></w:t>
      </w:r>
      <w:r>
        <w:t xml:space="preserve">, </w:t>
      </w:r>
      <w:r>
        <w:rPr>
          <w:rFonts w:ascii="Calibri" w:eastAsia="Calibri" w:hAnsi="Calibri" w:cs="Calibri"/>
        </w:rPr>
        <w:t></w:t>
      </w:r>
      <w:r>
        <w:t>.</w:t>
      </w:r>
    </w:p>
  </w:footnote>
  <w:footnote w:id="37">
    <w:p w:rsidR="007479CF" w:rsidRDefault="00CD28B5">
      <w:pPr>
        <w:pStyle w:val="footnotedescription"/>
        <w:spacing w:line="244" w:lineRule="auto"/>
      </w:pPr>
      <w:r>
        <w:rPr>
          <w:rStyle w:val="footnotemark"/>
        </w:rPr>
        <w:footnoteRef/>
      </w:r>
      <w:r>
        <w:t xml:space="preserve"> Léontin-Jean Constantinesco, </w:t>
      </w:r>
      <w:r>
        <w:rPr>
          <w:i/>
        </w:rPr>
        <w:t>Traité de droit comparé,</w:t>
      </w:r>
      <w:r>
        <w:t xml:space="preserve"> vol III: </w:t>
      </w:r>
      <w:r>
        <w:rPr>
          <w:i/>
        </w:rPr>
        <w:t>La science des droits comparés</w:t>
      </w:r>
      <w:r>
        <w:rPr>
          <w:i/>
        </w:rPr>
        <w:t xml:space="preserve"> </w:t>
      </w:r>
      <w:r>
        <w:t>(</w:t>
      </w:r>
      <w:r>
        <w:rPr>
          <w:rFonts w:ascii="Calibri" w:eastAsia="Calibri" w:hAnsi="Calibri" w:cs="Calibri"/>
        </w:rPr>
        <w:t></w:t>
      </w:r>
      <w:r>
        <w:t xml:space="preserve">), </w:t>
      </w:r>
      <w:r>
        <w:rPr>
          <w:rFonts w:ascii="Calibri" w:eastAsia="Calibri" w:hAnsi="Calibri" w:cs="Calibri"/>
        </w:rPr>
        <w:t></w:t>
      </w:r>
      <w:r>
        <w:t>.</w:t>
      </w:r>
    </w:p>
  </w:footnote>
  <w:footnote w:id="38">
    <w:p w:rsidR="007479CF" w:rsidRDefault="00CD28B5">
      <w:pPr>
        <w:pStyle w:val="footnotedescription"/>
        <w:spacing w:line="259" w:lineRule="auto"/>
        <w:ind w:left="175" w:firstLine="0"/>
        <w:jc w:val="left"/>
      </w:pPr>
      <w:r>
        <w:rPr>
          <w:rStyle w:val="footnotemark"/>
        </w:rPr>
        <w:footnoteRef/>
      </w:r>
      <w:r>
        <w:t xml:space="preserve"> Durkheim (n </w:t>
      </w:r>
      <w:r>
        <w:rPr>
          <w:rFonts w:ascii="Calibri" w:eastAsia="Calibri" w:hAnsi="Calibri" w:cs="Calibri"/>
        </w:rPr>
        <w:t></w:t>
      </w:r>
      <w:r>
        <w:t xml:space="preserve">), </w:t>
      </w:r>
      <w:r>
        <w:rPr>
          <w:rFonts w:ascii="Calibri" w:eastAsia="Calibri" w:hAnsi="Calibri" w:cs="Calibri"/>
        </w:rPr>
        <w:t> ff</w:t>
      </w:r>
      <w:r>
        <w:t>.</w:t>
      </w:r>
    </w:p>
  </w:footnote>
  <w:footnote w:id="39">
    <w:p w:rsidR="007479CF" w:rsidRDefault="00CD28B5">
      <w:pPr>
        <w:pStyle w:val="footnotedescription"/>
        <w:spacing w:line="259" w:lineRule="auto"/>
        <w:ind w:left="175" w:firstLine="0"/>
        <w:jc w:val="left"/>
      </w:pPr>
      <w:r>
        <w:rPr>
          <w:rStyle w:val="footnotemark"/>
        </w:rPr>
        <w:footnoteRef/>
      </w:r>
      <w:r>
        <w:t xml:space="preserve"> See also Wsevolod W. Isajiw, </w:t>
      </w:r>
      <w:r>
        <w:rPr>
          <w:i/>
        </w:rPr>
        <w:t>Causation and Functionalism in Sociology</w:t>
      </w:r>
      <w:r>
        <w:t xml:space="preserve"> (</w:t>
      </w:r>
      <w:r>
        <w:rPr>
          <w:rFonts w:ascii="Calibri" w:eastAsia="Calibri" w:hAnsi="Calibri" w:cs="Calibri"/>
        </w:rPr>
        <w:t></w:t>
      </w:r>
      <w:r>
        <w:t xml:space="preserve">), eg </w:t>
      </w:r>
      <w:r>
        <w:rPr>
          <w:rFonts w:ascii="Calibri" w:eastAsia="Calibri" w:hAnsi="Calibri" w:cs="Calibri"/>
        </w:rPr>
        <w:t xml:space="preserve"> </w:t>
      </w:r>
      <w:r>
        <w:t>f.</w:t>
      </w:r>
    </w:p>
  </w:footnote>
  <w:footnote w:id="40">
    <w:p w:rsidR="007479CF" w:rsidRDefault="00CD28B5">
      <w:pPr>
        <w:pStyle w:val="footnotedescription"/>
        <w:spacing w:line="259" w:lineRule="auto"/>
        <w:ind w:left="175" w:firstLine="0"/>
        <w:jc w:val="left"/>
      </w:pPr>
      <w:r>
        <w:rPr>
          <w:rStyle w:val="footnotemark"/>
        </w:rPr>
        <w:footnoteRef/>
      </w:r>
      <w:r>
        <w:t xml:space="preserve"> Durkheim (n </w:t>
      </w:r>
      <w:r>
        <w:rPr>
          <w:rFonts w:ascii="Calibri" w:eastAsia="Calibri" w:hAnsi="Calibri" w:cs="Calibri"/>
        </w:rPr>
        <w:t></w:t>
      </w:r>
      <w:r>
        <w:t xml:space="preserve">), </w:t>
      </w:r>
      <w:r>
        <w:rPr>
          <w:rFonts w:ascii="Calibri" w:eastAsia="Calibri" w:hAnsi="Calibri" w:cs="Calibri"/>
        </w:rPr>
        <w:t xml:space="preserve"> </w:t>
      </w:r>
      <w:r>
        <w:t>f.</w:t>
      </w:r>
    </w:p>
  </w:footnote>
  <w:footnote w:id="41">
    <w:p w:rsidR="007479CF" w:rsidRDefault="00CD28B5">
      <w:pPr>
        <w:pStyle w:val="footnotedescription"/>
        <w:spacing w:line="247" w:lineRule="auto"/>
      </w:pPr>
      <w:r>
        <w:rPr>
          <w:rStyle w:val="footnotemark"/>
        </w:rPr>
        <w:footnoteRef/>
      </w:r>
      <w:r>
        <w:t xml:space="preserve"> Raymond Saleilles, ‘</w:t>
      </w:r>
      <w:r>
        <w:t xml:space="preserve">Conception et objet de la science du droit comparé’, in </w:t>
      </w:r>
      <w:r>
        <w:rPr>
          <w:i/>
        </w:rPr>
        <w:t>Congrès international de droit comparé: Procès verbaux</w:t>
      </w:r>
      <w:r>
        <w:t xml:space="preserve"> (vol I,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p>
  </w:footnote>
  <w:footnote w:id="42">
    <w:p w:rsidR="007479CF" w:rsidRDefault="00CD28B5">
      <w:pPr>
        <w:pStyle w:val="footnotedescription"/>
        <w:spacing w:line="259" w:lineRule="auto"/>
        <w:ind w:left="175" w:firstLine="0"/>
        <w:jc w:val="left"/>
      </w:pPr>
      <w:r>
        <w:rPr>
          <w:rStyle w:val="footnotemark"/>
        </w:rPr>
        <w:footnoteRef/>
      </w:r>
      <w:r>
        <w:t xml:space="preserve"> Roger Cotterell, ‘Comparatists and Sociology’, in Legrand and Munday (n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ff</w:t>
      </w:r>
      <w:r>
        <w:t>.</w:t>
      </w:r>
    </w:p>
  </w:footnote>
  <w:footnote w:id="43">
    <w:p w:rsidR="007479CF" w:rsidRDefault="00CD28B5">
      <w:pPr>
        <w:pStyle w:val="footnotedescription"/>
        <w:spacing w:line="257" w:lineRule="auto"/>
      </w:pPr>
      <w:r>
        <w:rPr>
          <w:rStyle w:val="footnotemark"/>
        </w:rPr>
        <w:footnoteRef/>
      </w:r>
      <w:r>
        <w:t xml:space="preserve"> Pierre Lepaulle, ‘The </w:t>
      </w:r>
      <w:r>
        <w:t>Function of Comparative Law: With a Critique of Sociological Jurisprudence’, (</w:t>
      </w:r>
      <w:r>
        <w:rPr>
          <w:rFonts w:ascii="Calibri" w:eastAsia="Calibri" w:hAnsi="Calibri" w:cs="Calibri"/>
        </w:rPr>
        <w:t></w:t>
      </w:r>
      <w:r>
        <w:t>–</w:t>
      </w:r>
      <w:r>
        <w:rPr>
          <w:rFonts w:ascii="Calibri" w:eastAsia="Calibri" w:hAnsi="Calibri" w:cs="Calibri"/>
        </w:rPr>
        <w:t></w:t>
      </w:r>
      <w:r>
        <w:t xml:space="preserve">) </w:t>
      </w:r>
      <w:r>
        <w:rPr>
          <w:rFonts w:ascii="Calibri" w:eastAsia="Calibri" w:hAnsi="Calibri" w:cs="Calibri"/>
        </w:rPr>
        <w:t></w:t>
      </w:r>
      <w:r>
        <w:t xml:space="preserve"> </w:t>
      </w:r>
      <w:r>
        <w:rPr>
          <w:i/>
        </w:rPr>
        <w:t>Harvard LR</w:t>
      </w:r>
      <w:r>
        <w:t xml:space="preserve"> </w:t>
      </w:r>
      <w:r>
        <w:rPr>
          <w:rFonts w:ascii="Calibri" w:eastAsia="Calibri" w:hAnsi="Calibri" w:cs="Calibri"/>
        </w:rPr>
        <w:t></w:t>
      </w:r>
      <w:r>
        <w:t>–</w:t>
      </w:r>
      <w:r>
        <w:rPr>
          <w:rFonts w:ascii="Calibri" w:eastAsia="Calibri" w:hAnsi="Calibri" w:cs="Calibri"/>
        </w:rPr>
        <w:t></w:t>
      </w:r>
      <w:r>
        <w:t xml:space="preserve">; also in Zweigert and Puttfarken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44">
    <w:p w:rsidR="007479CF" w:rsidRDefault="00CD28B5">
      <w:pPr>
        <w:pStyle w:val="footnotedescription"/>
        <w:spacing w:line="259" w:lineRule="auto"/>
        <w:ind w:left="175" w:firstLine="0"/>
        <w:jc w:val="left"/>
      </w:pPr>
      <w:r>
        <w:rPr>
          <w:rStyle w:val="footnotemark"/>
        </w:rPr>
        <w:footnoteRef/>
      </w:r>
      <w:r>
        <w:t xml:space="preserve"> Brainerd Currie, ‘The Materials of Law Study, (</w:t>
      </w:r>
      <w:r>
        <w:rPr>
          <w:rFonts w:ascii="Calibri" w:eastAsia="Calibri" w:hAnsi="Calibri" w:cs="Calibri"/>
        </w:rPr>
        <w:t></w:t>
      </w:r>
      <w:r>
        <w:t xml:space="preserve">) </w:t>
      </w:r>
      <w:r>
        <w:rPr>
          <w:rFonts w:ascii="Calibri" w:eastAsia="Calibri" w:hAnsi="Calibri" w:cs="Calibri"/>
        </w:rPr>
        <w:t></w:t>
      </w:r>
      <w:r>
        <w:t xml:space="preserve"> </w:t>
      </w:r>
      <w:r>
        <w:rPr>
          <w:i/>
        </w:rPr>
        <w:t>Journal of Legal Education</w:t>
      </w:r>
      <w:r>
        <w:t xml:space="preserve"> </w:t>
      </w:r>
      <w:r>
        <w:rPr>
          <w:rFonts w:ascii="Calibri" w:eastAsia="Calibri" w:hAnsi="Calibri" w:cs="Calibri"/>
        </w:rPr>
        <w:t></w:t>
      </w:r>
      <w:r>
        <w:t>–</w:t>
      </w:r>
      <w:r>
        <w:rPr>
          <w:rFonts w:ascii="Calibri" w:eastAsia="Calibri" w:hAnsi="Calibri" w:cs="Calibri"/>
        </w:rPr>
        <w:t></w:t>
      </w:r>
      <w:r>
        <w:t>.</w:t>
      </w:r>
    </w:p>
  </w:footnote>
  <w:footnote w:id="45">
    <w:p w:rsidR="007479CF" w:rsidRDefault="00CD28B5">
      <w:pPr>
        <w:pStyle w:val="footnotedescription"/>
        <w:spacing w:line="259" w:lineRule="auto"/>
        <w:ind w:left="175" w:firstLine="0"/>
        <w:jc w:val="left"/>
      </w:pPr>
      <w:r>
        <w:rPr>
          <w:rStyle w:val="footnotemark"/>
        </w:rPr>
        <w:footnoteRef/>
      </w:r>
      <w:r>
        <w:t xml:space="preserve"> Zweigert a</w:t>
      </w:r>
      <w:r>
        <w:t xml:space="preserve">nd Kötz (n </w:t>
      </w:r>
      <w:r>
        <w:rPr>
          <w:rFonts w:ascii="Calibri" w:eastAsia="Calibri" w:hAnsi="Calibri" w:cs="Calibri"/>
        </w:rPr>
        <w:t></w:t>
      </w:r>
      <w:r>
        <w:t xml:space="preserve">), </w:t>
      </w:r>
      <w:r>
        <w:rPr>
          <w:rFonts w:ascii="Calibri" w:eastAsia="Calibri" w:hAnsi="Calibri" w:cs="Calibri"/>
        </w:rPr>
        <w:t></w:t>
      </w:r>
      <w:r>
        <w:t>.</w:t>
      </w:r>
    </w:p>
  </w:footnote>
  <w:footnote w:id="46">
    <w:p w:rsidR="007479CF" w:rsidRDefault="00CD28B5">
      <w:pPr>
        <w:pStyle w:val="footnotedescription"/>
        <w:spacing w:line="257" w:lineRule="auto"/>
      </w:pPr>
      <w:r>
        <w:rPr>
          <w:rStyle w:val="footnotemark"/>
        </w:rPr>
        <w:footnoteRef/>
      </w:r>
      <w:r>
        <w:t xml:space="preserve"> David M. Trubek, ‘Towards a Social Theory of Law: An Essay on the Study of Law and Development’, (</w:t>
      </w:r>
      <w:r>
        <w:rPr>
          <w:rFonts w:ascii="Calibri" w:eastAsia="Calibri" w:hAnsi="Calibri" w:cs="Calibri"/>
        </w:rPr>
        <w:t></w:t>
      </w:r>
      <w:r>
        <w:t xml:space="preserve">) </w:t>
      </w:r>
      <w:r>
        <w:rPr>
          <w:rFonts w:ascii="Calibri" w:eastAsia="Calibri" w:hAnsi="Calibri" w:cs="Calibri"/>
        </w:rPr>
        <w:t></w:t>
      </w:r>
      <w:r>
        <w:t xml:space="preserve"> </w:t>
      </w:r>
      <w:r>
        <w:rPr>
          <w:i/>
        </w:rPr>
        <w:t>Yale LJ</w:t>
      </w:r>
      <w:r>
        <w:t xml:space="preserve"> </w:t>
      </w:r>
      <w:r>
        <w:rPr>
          <w:rFonts w:ascii="Calibri" w:eastAsia="Calibri" w:hAnsi="Calibri" w:cs="Calibri"/>
        </w:rPr>
        <w:t></w:t>
      </w:r>
      <w:r>
        <w:t>–</w:t>
      </w:r>
      <w:r>
        <w:rPr>
          <w:rFonts w:ascii="Calibri" w:eastAsia="Calibri" w:hAnsi="Calibri" w:cs="Calibri"/>
        </w:rPr>
        <w:t></w:t>
      </w:r>
      <w:r>
        <w:t>.</w:t>
      </w:r>
    </w:p>
  </w:footnote>
  <w:footnote w:id="47">
    <w:p w:rsidR="007479CF" w:rsidRDefault="00CD28B5">
      <w:pPr>
        <w:pStyle w:val="footnotedescription"/>
        <w:spacing w:line="259" w:lineRule="auto"/>
        <w:ind w:left="175" w:firstLine="0"/>
        <w:jc w:val="left"/>
      </w:pPr>
      <w:r>
        <w:rPr>
          <w:rStyle w:val="footnotemark"/>
        </w:rPr>
        <w:footnoteRef/>
      </w:r>
      <w:r>
        <w:t xml:space="preserve"> www.doingbusiness.org (last accessed </w:t>
      </w:r>
      <w:r>
        <w:rPr>
          <w:rFonts w:ascii="Calibri" w:eastAsia="Calibri" w:hAnsi="Calibri" w:cs="Calibri"/>
        </w:rPr>
        <w:t></w:t>
      </w:r>
      <w:r>
        <w:t xml:space="preserve"> July </w:t>
      </w:r>
      <w:r>
        <w:rPr>
          <w:rFonts w:ascii="Calibri" w:eastAsia="Calibri" w:hAnsi="Calibri" w:cs="Calibri"/>
        </w:rPr>
        <w:t></w:t>
      </w:r>
      <w:r>
        <w:t>).</w:t>
      </w:r>
    </w:p>
  </w:footnote>
  <w:footnote w:id="48">
    <w:p w:rsidR="007479CF" w:rsidRDefault="00CD28B5">
      <w:pPr>
        <w:pStyle w:val="footnotedescription"/>
        <w:spacing w:line="257" w:lineRule="auto"/>
      </w:pPr>
      <w:r>
        <w:rPr>
          <w:rStyle w:val="footnotemark"/>
        </w:rPr>
        <w:footnoteRef/>
      </w:r>
      <w:r>
        <w:t xml:space="preserve"> </w:t>
      </w:r>
      <w:r>
        <w:t>See, most recently, Kerry Rittich, ‘Functionalism and Formalism: Their Latest Incarnations in Contemporary Development and Governance Debates’, (</w:t>
      </w:r>
      <w:r>
        <w:rPr>
          <w:rFonts w:ascii="Calibri" w:eastAsia="Calibri" w:hAnsi="Calibri" w:cs="Calibri"/>
        </w:rPr>
        <w:t></w:t>
      </w:r>
      <w:r>
        <w:t xml:space="preserve">) </w:t>
      </w:r>
      <w:r>
        <w:rPr>
          <w:rFonts w:ascii="Calibri" w:eastAsia="Calibri" w:hAnsi="Calibri" w:cs="Calibri"/>
        </w:rPr>
        <w:t></w:t>
      </w:r>
      <w:r>
        <w:t xml:space="preserve"> </w:t>
      </w:r>
      <w:r>
        <w:rPr>
          <w:i/>
        </w:rPr>
        <w:t>University of Toronto LJ</w:t>
      </w:r>
      <w:r>
        <w:t xml:space="preserve"> </w:t>
      </w:r>
      <w:r>
        <w:rPr>
          <w:rFonts w:ascii="Calibri" w:eastAsia="Calibri" w:hAnsi="Calibri" w:cs="Calibri"/>
        </w:rPr>
        <w:t></w:t>
      </w:r>
      <w:r>
        <w:t>–</w:t>
      </w:r>
      <w:r>
        <w:rPr>
          <w:rFonts w:ascii="Calibri" w:eastAsia="Calibri" w:hAnsi="Calibri" w:cs="Calibri"/>
        </w:rPr>
        <w:t></w:t>
      </w:r>
      <w:r>
        <w:t>.</w:t>
      </w:r>
    </w:p>
  </w:footnote>
  <w:footnote w:id="49">
    <w:p w:rsidR="007479CF" w:rsidRDefault="00CD28B5">
      <w:pPr>
        <w:pStyle w:val="footnotedescription"/>
        <w:spacing w:line="239" w:lineRule="auto"/>
        <w:ind w:right="7"/>
      </w:pPr>
      <w:r>
        <w:rPr>
          <w:rStyle w:val="footnotemark"/>
        </w:rPr>
        <w:footnoteRef/>
      </w:r>
      <w:r>
        <w:t xml:space="preserve"> Jan Torpman and Fredrik Jörgensen, ‘Legal E</w:t>
      </w:r>
      <w:r>
        <w:rPr>
          <w:rFonts w:ascii="Calibri" w:eastAsia="Calibri" w:hAnsi="Calibri" w:cs="Calibri"/>
        </w:rPr>
        <w:t>ff</w:t>
      </w:r>
      <w:r>
        <w:t>ectiveness’, (</w:t>
      </w:r>
      <w:r>
        <w:rPr>
          <w:rFonts w:ascii="Calibri" w:eastAsia="Calibri" w:hAnsi="Calibri" w:cs="Calibri"/>
        </w:rPr>
        <w:t></w:t>
      </w:r>
      <w:r>
        <w:t xml:space="preserve">) </w:t>
      </w:r>
      <w:r>
        <w:rPr>
          <w:rFonts w:ascii="Calibri" w:eastAsia="Calibri" w:hAnsi="Calibri" w:cs="Calibri"/>
        </w:rPr>
        <w:t></w:t>
      </w:r>
      <w:r>
        <w:t xml:space="preserve"> </w:t>
      </w:r>
      <w:r>
        <w:rPr>
          <w:i/>
        </w:rPr>
        <w:t>Archiv für Rechts- und Sozialphilosophie</w:t>
      </w:r>
      <w:r>
        <w:t xml:space="preserve"> </w:t>
      </w:r>
      <w:r>
        <w:rPr>
          <w:rFonts w:ascii="Calibri" w:eastAsia="Calibri" w:hAnsi="Calibri" w:cs="Calibri"/>
        </w:rPr>
        <w:t></w:t>
      </w:r>
      <w:r>
        <w:t>–</w:t>
      </w:r>
      <w:r>
        <w:rPr>
          <w:rFonts w:ascii="Calibri" w:eastAsia="Calibri" w:hAnsi="Calibri" w:cs="Calibri"/>
        </w:rPr>
        <w:t></w:t>
      </w:r>
      <w:r>
        <w:t xml:space="preserve">; Association Henri Capitant, </w:t>
      </w:r>
      <w:r>
        <w:rPr>
          <w:i/>
        </w:rPr>
        <w:t>Les droits de tradition civiliste en question—A propos des Rapports Doing Business de la Banque Mondiale</w:t>
      </w:r>
      <w:r>
        <w:t xml:space="preserve"> </w:t>
      </w:r>
      <w:r>
        <w:rPr>
          <w:i/>
        </w:rPr>
        <w:t xml:space="preserve">vol </w:t>
      </w:r>
      <w:r>
        <w:rPr>
          <w:rFonts w:ascii="Calibri" w:eastAsia="Calibri" w:hAnsi="Calibri" w:cs="Calibri"/>
          <w:i/>
        </w:rPr>
        <w:t></w:t>
      </w:r>
      <w:r>
        <w:t xml:space="preserve"> (</w:t>
      </w:r>
      <w:r>
        <w:rPr>
          <w:rFonts w:ascii="Calibri" w:eastAsia="Calibri" w:hAnsi="Calibri" w:cs="Calibri"/>
        </w:rPr>
        <w:t></w:t>
      </w:r>
      <w:r>
        <w:t>).</w:t>
      </w:r>
    </w:p>
  </w:footnote>
  <w:footnote w:id="50">
    <w:p w:rsidR="007479CF" w:rsidRDefault="00CD28B5">
      <w:pPr>
        <w:pStyle w:val="footnotedescription"/>
      </w:pPr>
      <w:r>
        <w:rPr>
          <w:rStyle w:val="footnotemark"/>
        </w:rPr>
        <w:footnoteRef/>
      </w:r>
      <w:r>
        <w:t xml:space="preserve"> A more nuanced analysis is Daniel Berkowitz, Katharina Pi</w:t>
      </w:r>
      <w:r>
        <w:t>stor, and Jean-François Richard, ‘The Transplant E</w:t>
      </w:r>
      <w:r>
        <w:rPr>
          <w:rFonts w:ascii="Calibri" w:eastAsia="Calibri" w:hAnsi="Calibri" w:cs="Calibri"/>
        </w:rPr>
        <w:t>ff</w:t>
      </w:r>
      <w:r>
        <w:t>ect’,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w:t>
      </w:r>
      <w:r>
        <w:rPr>
          <w:rFonts w:ascii="Calibri" w:eastAsia="Calibri" w:hAnsi="Calibri" w:cs="Calibri"/>
        </w:rPr>
        <w:t></w:t>
      </w:r>
      <w:r>
        <w:t>.</w:t>
      </w:r>
    </w:p>
  </w:footnote>
  <w:footnote w:id="51">
    <w:p w:rsidR="007479CF" w:rsidRDefault="00CD28B5">
      <w:pPr>
        <w:pStyle w:val="footnotedescription"/>
        <w:spacing w:line="245" w:lineRule="auto"/>
      </w:pPr>
      <w:r>
        <w:rPr>
          <w:rStyle w:val="footnotemark"/>
        </w:rPr>
        <w:footnoteRef/>
      </w:r>
      <w:r>
        <w:t xml:space="preserve"> Merton (n </w:t>
      </w:r>
      <w:r>
        <w:rPr>
          <w:rFonts w:ascii="Calibri" w:eastAsia="Calibri" w:hAnsi="Calibri" w:cs="Calibri"/>
        </w:rPr>
        <w:t></w:t>
      </w:r>
      <w:r>
        <w:t>). An early version of the argument was published as ‘Sociological Theory’, (</w:t>
      </w:r>
      <w:r>
        <w:rPr>
          <w:rFonts w:ascii="Calibri" w:eastAsia="Calibri" w:hAnsi="Calibri" w:cs="Calibri"/>
        </w:rPr>
        <w:t></w:t>
      </w:r>
      <w:r>
        <w:t xml:space="preserve">) </w:t>
      </w:r>
      <w:r>
        <w:rPr>
          <w:rFonts w:ascii="Calibri" w:eastAsia="Calibri" w:hAnsi="Calibri" w:cs="Calibri"/>
        </w:rPr>
        <w:t></w:t>
      </w:r>
      <w:r>
        <w:t xml:space="preserve"> </w:t>
      </w:r>
      <w:r>
        <w:rPr>
          <w:i/>
        </w:rPr>
        <w:t>American Journal of Sociology</w:t>
      </w:r>
      <w:r>
        <w:t xml:space="preserve"> </w:t>
      </w:r>
      <w:r>
        <w:rPr>
          <w:rFonts w:ascii="Calibri" w:eastAsia="Calibri" w:hAnsi="Calibri" w:cs="Calibri"/>
        </w:rPr>
        <w:t></w:t>
      </w:r>
      <w:r>
        <w:t>–</w:t>
      </w:r>
      <w:r>
        <w:rPr>
          <w:rFonts w:ascii="Calibri" w:eastAsia="Calibri" w:hAnsi="Calibri" w:cs="Calibri"/>
        </w:rPr>
        <w:t></w:t>
      </w:r>
      <w:r>
        <w:t>.</w:t>
      </w:r>
    </w:p>
  </w:footnote>
  <w:footnote w:id="52">
    <w:p w:rsidR="007479CF" w:rsidRDefault="00CD28B5">
      <w:pPr>
        <w:pStyle w:val="footnotedescription"/>
        <w:spacing w:line="243" w:lineRule="auto"/>
      </w:pPr>
      <w:r>
        <w:rPr>
          <w:rStyle w:val="footnotemark"/>
        </w:rPr>
        <w:footnoteRef/>
      </w:r>
      <w:r>
        <w:t xml:space="preserve"> Merton (n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see al</w:t>
      </w:r>
      <w:r>
        <w:t xml:space="preserve">ready </w:t>
      </w:r>
      <w:r>
        <w:rPr>
          <w:i/>
        </w:rPr>
        <w:t>idem</w:t>
      </w:r>
      <w:r>
        <w:t>, ‘The Unintended Consequences of Purposive Social Action’, (</w:t>
      </w:r>
      <w:r>
        <w:rPr>
          <w:rFonts w:ascii="Calibri" w:eastAsia="Calibri" w:hAnsi="Calibri" w:cs="Calibri"/>
        </w:rPr>
        <w:t></w:t>
      </w:r>
      <w:r>
        <w:t xml:space="preserve">) </w:t>
      </w:r>
      <w:r>
        <w:rPr>
          <w:rFonts w:ascii="Calibri" w:eastAsia="Calibri" w:hAnsi="Calibri" w:cs="Calibri"/>
        </w:rPr>
        <w:t></w:t>
      </w:r>
      <w:r>
        <w:t xml:space="preserve"> </w:t>
      </w:r>
      <w:r>
        <w:rPr>
          <w:i/>
        </w:rPr>
        <w:t>American Sociological Review</w:t>
      </w:r>
      <w:r>
        <w:t xml:space="preserve"> </w:t>
      </w:r>
      <w:r>
        <w:rPr>
          <w:rFonts w:ascii="Calibri" w:eastAsia="Calibri" w:hAnsi="Calibri" w:cs="Calibri"/>
        </w:rPr>
        <w:t></w:t>
      </w:r>
      <w:r>
        <w:t>–</w:t>
      </w:r>
      <w:r>
        <w:rPr>
          <w:rFonts w:ascii="Calibri" w:eastAsia="Calibri" w:hAnsi="Calibri" w:cs="Calibri"/>
        </w:rPr>
        <w:t></w:t>
      </w:r>
      <w:r>
        <w:t>.</w:t>
      </w:r>
    </w:p>
  </w:footnote>
  <w:footnote w:id="53">
    <w:p w:rsidR="007479CF" w:rsidRDefault="00CD28B5">
      <w:pPr>
        <w:pStyle w:val="footnotedescription"/>
        <w:spacing w:after="1" w:line="259" w:lineRule="auto"/>
        <w:ind w:left="175" w:firstLine="0"/>
        <w:jc w:val="left"/>
      </w:pPr>
      <w:r>
        <w:rPr>
          <w:rStyle w:val="footnotemark"/>
        </w:rPr>
        <w:footnoteRef/>
      </w:r>
      <w:r>
        <w:t xml:space="preserve"> Merton (n </w:t>
      </w:r>
      <w:r>
        <w:rPr>
          <w:rFonts w:ascii="Calibri" w:eastAsia="Calibri" w:hAnsi="Calibri" w:cs="Calibri"/>
        </w:rPr>
        <w:t></w:t>
      </w:r>
      <w:r>
        <w:t xml:space="preserve">), </w:t>
      </w:r>
      <w:r>
        <w:rPr>
          <w:rFonts w:ascii="Calibri" w:eastAsia="Calibri" w:hAnsi="Calibri" w:cs="Calibri"/>
        </w:rPr>
        <w:t></w:t>
      </w:r>
      <w:r>
        <w:t>.</w:t>
      </w:r>
    </w:p>
  </w:footnote>
  <w:footnote w:id="54">
    <w:p w:rsidR="007479CF" w:rsidRDefault="00CD28B5">
      <w:pPr>
        <w:pStyle w:val="footnotedescription"/>
        <w:spacing w:line="241" w:lineRule="auto"/>
        <w:ind w:right="6"/>
      </w:pPr>
      <w:r>
        <w:rPr>
          <w:rStyle w:val="footnotemark"/>
        </w:rPr>
        <w:footnoteRef/>
      </w:r>
      <w:r>
        <w:t xml:space="preserve"> See eg Ernst Rabel, ‘</w:t>
      </w:r>
      <w:r>
        <w:t>Aufgabe und Notwendigkeit der Rechtsvergleichung’, (</w:t>
      </w:r>
      <w:r>
        <w:rPr>
          <w:rFonts w:ascii="Calibri" w:eastAsia="Calibri" w:hAnsi="Calibri" w:cs="Calibri"/>
        </w:rPr>
        <w:t></w:t>
      </w:r>
      <w:r>
        <w:t xml:space="preserve">) </w:t>
      </w:r>
      <w:r>
        <w:rPr>
          <w:rFonts w:ascii="Calibri" w:eastAsia="Calibri" w:hAnsi="Calibri" w:cs="Calibri"/>
        </w:rPr>
        <w:t></w:t>
      </w:r>
      <w:r>
        <w:t xml:space="preserve"> </w:t>
      </w:r>
      <w:r>
        <w:rPr>
          <w:i/>
        </w:rPr>
        <w:t>Rheinische Zeitschrift für Zivil- und Prozeßrecht</w:t>
      </w:r>
      <w:r>
        <w:t xml:space="preserve"> </w:t>
      </w:r>
      <w:r>
        <w:rPr>
          <w:rFonts w:ascii="Calibri" w:eastAsia="Calibri" w:hAnsi="Calibri" w:cs="Calibri"/>
        </w:rPr>
        <w:t></w:t>
      </w:r>
      <w:r>
        <w:t xml:space="preserve">, </w:t>
      </w:r>
      <w:r>
        <w:rPr>
          <w:rFonts w:ascii="Calibri" w:eastAsia="Calibri" w:hAnsi="Calibri" w:cs="Calibri"/>
        </w:rPr>
        <w:t></w:t>
      </w:r>
      <w:r>
        <w:t xml:space="preserve">; reprinted in Hans G. Leser (ed), Ernst Rabel, </w:t>
      </w:r>
      <w:r>
        <w:rPr>
          <w:i/>
        </w:rPr>
        <w:t>Gesammelte Aufsätze</w:t>
      </w:r>
      <w:r>
        <w:t xml:space="preserve"> (vol III,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xml:space="preserve"> and in Zweigert and Puttfarken (n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w:t>
      </w:r>
      <w:r>
        <w:t xml:space="preserve">Alles das bedingt sich gegenseitig in sozialer, wirtschaftlicher, rechtlicher Gestaltung . . . Alle diese vibrierenden Körper zusammen bilden ein noch von niemandem mit Anschauung erfaßtes Ganzes’ (Everything in the social, economic, and legal </w:t>
      </w:r>
      <w:r>
        <w:rPr>
          <w:rFonts w:ascii="Calibri" w:eastAsia="Calibri" w:hAnsi="Calibri" w:cs="Calibri"/>
        </w:rPr>
        <w:t>fi</w:t>
      </w:r>
      <w:r>
        <w:t>elds inter</w:t>
      </w:r>
      <w:r>
        <w:t xml:space="preserve">acts . . . All these vibrating bodies in their ensemble form a whole that no one has yet fully realized); quoted approvingly by Zweigert and Kötz (n </w:t>
      </w:r>
      <w:r>
        <w:rPr>
          <w:rFonts w:ascii="Calibri" w:eastAsia="Calibri" w:hAnsi="Calibri" w:cs="Calibri"/>
        </w:rPr>
        <w:t></w:t>
      </w:r>
      <w:r>
        <w:t xml:space="preserve">), </w:t>
      </w:r>
      <w:r>
        <w:rPr>
          <w:rFonts w:ascii="Calibri" w:eastAsia="Calibri" w:hAnsi="Calibri" w:cs="Calibri"/>
        </w:rPr>
        <w:t></w:t>
      </w:r>
      <w:r>
        <w:t xml:space="preserve">. </w:t>
      </w:r>
      <w:r>
        <w:rPr>
          <w:b/>
          <w:vertAlign w:val="superscript"/>
        </w:rPr>
        <w:t xml:space="preserve">59 </w:t>
      </w:r>
      <w:r>
        <w:t xml:space="preserve">Merton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55">
    <w:p w:rsidR="007479CF" w:rsidRDefault="00CD28B5">
      <w:pPr>
        <w:pStyle w:val="footnotedescription"/>
        <w:spacing w:line="249" w:lineRule="auto"/>
        <w:ind w:right="1"/>
      </w:pPr>
      <w:r>
        <w:rPr>
          <w:rStyle w:val="footnotemark"/>
        </w:rPr>
        <w:footnoteRef/>
      </w:r>
      <w:r>
        <w:t xml:space="preserve"> Two in</w:t>
      </w:r>
      <w:r>
        <w:rPr>
          <w:rFonts w:ascii="Calibri" w:eastAsia="Calibri" w:hAnsi="Calibri" w:cs="Calibri"/>
        </w:rPr>
        <w:t>fl</w:t>
      </w:r>
      <w:r>
        <w:t xml:space="preserve">uential collections of essays are Demerath and Peterson (n </w:t>
      </w:r>
      <w:r>
        <w:rPr>
          <w:rFonts w:ascii="Calibri" w:eastAsia="Calibri" w:hAnsi="Calibri" w:cs="Calibri"/>
        </w:rPr>
        <w:t></w:t>
      </w:r>
      <w:r>
        <w:t>) a</w:t>
      </w:r>
      <w:r>
        <w:t xml:space="preserve">nd Don Martindale (ed), </w:t>
      </w:r>
      <w:r>
        <w:rPr>
          <w:i/>
        </w:rPr>
        <w:t>Functionalism in the Social Sciences: The Strength and Limits of Functionalism in Anthropology, Economics, Political Science, and Sociology</w:t>
      </w:r>
      <w:r>
        <w:t xml:space="preserve"> (</w:t>
      </w:r>
      <w:r>
        <w:rPr>
          <w:rFonts w:ascii="Calibri" w:eastAsia="Calibri" w:hAnsi="Calibri" w:cs="Calibri"/>
        </w:rPr>
        <w:t></w:t>
      </w:r>
      <w:r>
        <w:t>).</w:t>
      </w:r>
    </w:p>
  </w:footnote>
  <w:footnote w:id="56">
    <w:p w:rsidR="007479CF" w:rsidRDefault="00CD28B5">
      <w:pPr>
        <w:pStyle w:val="footnotedescription"/>
        <w:spacing w:after="4" w:line="239" w:lineRule="auto"/>
        <w:ind w:right="1"/>
      </w:pPr>
      <w:r>
        <w:rPr>
          <w:rStyle w:val="footnotemark"/>
        </w:rPr>
        <w:footnoteRef/>
      </w:r>
      <w:r>
        <w:t xml:space="preserve"> Ernest Nagel, ‘A Formalization of Functionalism’, in </w:t>
      </w:r>
      <w:r>
        <w:rPr>
          <w:i/>
        </w:rPr>
        <w:t>idem</w:t>
      </w:r>
      <w:r>
        <w:t xml:space="preserve">, </w:t>
      </w:r>
      <w:r>
        <w:rPr>
          <w:i/>
        </w:rPr>
        <w:t>Logic without Metaphysi</w:t>
      </w:r>
      <w:r>
        <w:rPr>
          <w:i/>
        </w:rPr>
        <w:t>cs</w:t>
      </w:r>
      <w:r>
        <w:t xml:space="preserve"> (</w:t>
      </w:r>
      <w:r>
        <w:rPr>
          <w:rFonts w:ascii="Calibri" w:eastAsia="Calibri" w:hAnsi="Calibri" w:cs="Calibri"/>
        </w:rPr>
        <w:t></w:t>
      </w:r>
      <w:r>
        <w:t xml:space="preserve">), </w:t>
      </w:r>
      <w:r>
        <w:rPr>
          <w:rFonts w:ascii="Calibri" w:eastAsia="Calibri" w:hAnsi="Calibri" w:cs="Calibri"/>
        </w:rPr>
        <w:t> ff</w:t>
      </w:r>
      <w:r>
        <w:t xml:space="preserve">; reprinted in Demerath and Peterson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Carl G. Hempel, ‘The Logic of Functionalism’, in Llewellyn Gross (ed), </w:t>
      </w:r>
      <w:r>
        <w:rPr>
          <w:i/>
        </w:rPr>
        <w:t>Symposium on Sociological Theory</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Frankenberg, </w:t>
      </w:r>
      <w:r>
        <w:rPr>
          <w:rFonts w:ascii="Calibri" w:eastAsia="Calibri" w:hAnsi="Calibri" w:cs="Calibri"/>
        </w:rPr>
        <w:t></w:t>
      </w:r>
      <w:r>
        <w:t xml:space="preserve"> </w:t>
      </w:r>
      <w:r>
        <w:rPr>
          <w:i/>
        </w:rPr>
        <w:t>Harvard International LJ</w:t>
      </w:r>
      <w:r>
        <w:t xml:space="preserve"> </w:t>
      </w:r>
      <w:r>
        <w:rPr>
          <w:rFonts w:ascii="Calibri" w:eastAsia="Calibri" w:hAnsi="Calibri" w:cs="Calibri"/>
        </w:rPr>
        <w:t></w:t>
      </w:r>
      <w:r>
        <w:t>.</w:t>
      </w:r>
    </w:p>
  </w:footnote>
  <w:footnote w:id="57">
    <w:p w:rsidR="007479CF" w:rsidRDefault="00CD28B5">
      <w:pPr>
        <w:pStyle w:val="footnotedescription"/>
        <w:spacing w:line="259" w:lineRule="auto"/>
        <w:ind w:left="175" w:firstLine="0"/>
        <w:jc w:val="left"/>
      </w:pPr>
      <w:r>
        <w:rPr>
          <w:rStyle w:val="footnotemark"/>
        </w:rPr>
        <w:footnoteRef/>
      </w:r>
      <w:r>
        <w:t xml:space="preserve"> </w:t>
      </w:r>
      <w:r>
        <w:t xml:space="preserve">See Turner and Maryanski (n </w:t>
      </w:r>
      <w:r>
        <w:rPr>
          <w:rFonts w:ascii="Calibri" w:eastAsia="Calibri" w:hAnsi="Calibri" w:cs="Calibri"/>
        </w:rPr>
        <w:t></w:t>
      </w:r>
      <w:r>
        <w:t xml:space="preserve">), </w:t>
      </w:r>
      <w:r>
        <w:rPr>
          <w:rFonts w:ascii="Calibri" w:eastAsia="Calibri" w:hAnsi="Calibri" w:cs="Calibri"/>
        </w:rPr>
        <w:t> ff</w:t>
      </w:r>
      <w:r>
        <w:t xml:space="preserve">; Mark Abrahamson, </w:t>
      </w:r>
      <w:r>
        <w:rPr>
          <w:i/>
        </w:rPr>
        <w:t>Functionalism</w:t>
      </w:r>
      <w:r>
        <w:t xml:space="preserve"> (</w:t>
      </w:r>
      <w:r>
        <w:rPr>
          <w:rFonts w:ascii="Calibri" w:eastAsia="Calibri" w:hAnsi="Calibri" w:cs="Calibri"/>
        </w:rPr>
        <w:t></w:t>
      </w:r>
      <w:r>
        <w:t xml:space="preserve">), </w:t>
      </w:r>
      <w:r>
        <w:rPr>
          <w:rFonts w:ascii="Calibri" w:eastAsia="Calibri" w:hAnsi="Calibri" w:cs="Calibri"/>
        </w:rPr>
        <w:t> ff</w:t>
      </w:r>
      <w:r>
        <w:t>.</w:t>
      </w:r>
    </w:p>
  </w:footnote>
  <w:footnote w:id="58">
    <w:p w:rsidR="007479CF" w:rsidRDefault="00CD28B5">
      <w:pPr>
        <w:pStyle w:val="footnotedescription"/>
        <w:spacing w:line="246" w:lineRule="auto"/>
      </w:pPr>
      <w:r>
        <w:rPr>
          <w:rStyle w:val="footnotemark"/>
        </w:rPr>
        <w:footnoteRef/>
      </w:r>
      <w:r>
        <w:t xml:space="preserve"> Vivian Curran, ‘Cultural Immersion, Di</w:t>
      </w:r>
      <w:r>
        <w:rPr>
          <w:rFonts w:ascii="Calibri" w:eastAsia="Calibri" w:hAnsi="Calibri" w:cs="Calibri"/>
        </w:rPr>
        <w:t>ff</w:t>
      </w:r>
      <w:r>
        <w:t>erence and Categories in U.S. Comparative Law’,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 xml:space="preserve">, </w:t>
      </w:r>
      <w:r>
        <w:rPr>
          <w:rFonts w:ascii="Calibri" w:eastAsia="Calibri" w:hAnsi="Calibri" w:cs="Calibri"/>
        </w:rPr>
        <w:t></w:t>
      </w:r>
      <w:r>
        <w:t>.</w:t>
      </w:r>
    </w:p>
  </w:footnote>
  <w:footnote w:id="59">
    <w:p w:rsidR="007479CF" w:rsidRDefault="00CD28B5">
      <w:pPr>
        <w:pStyle w:val="footnotedescription"/>
        <w:spacing w:line="246" w:lineRule="auto"/>
        <w:ind w:right="7"/>
      </w:pPr>
      <w:r>
        <w:rPr>
          <w:rStyle w:val="footnotemark"/>
        </w:rPr>
        <w:footnoteRef/>
      </w:r>
      <w:r>
        <w:t xml:space="preserve"> Ernest Nagel, ‘</w:t>
      </w:r>
      <w:r>
        <w:t xml:space="preserve">A Formalization of Functionalism with Special Reference to its Application in the Social Sciences’, in </w:t>
      </w:r>
      <w:r>
        <w:rPr>
          <w:i/>
        </w:rPr>
        <w:t>idem, Logic without Metaphysics</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reprinted in abbreviated form in Demerath and Peterson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for a defence, see Isajiw (n </w:t>
      </w:r>
      <w:r>
        <w:rPr>
          <w:rFonts w:ascii="Calibri" w:eastAsia="Calibri" w:hAnsi="Calibri" w:cs="Calibri"/>
        </w:rPr>
        <w:t></w:t>
      </w:r>
      <w:r>
        <w:t>).</w:t>
      </w:r>
    </w:p>
  </w:footnote>
  <w:footnote w:id="60">
    <w:p w:rsidR="007479CF" w:rsidRDefault="00CD28B5">
      <w:pPr>
        <w:pStyle w:val="footnotedescription"/>
        <w:spacing w:line="239" w:lineRule="auto"/>
        <w:ind w:right="1"/>
      </w:pPr>
      <w:r>
        <w:rPr>
          <w:rStyle w:val="footnotemark"/>
        </w:rPr>
        <w:footnoteRef/>
      </w:r>
      <w:r>
        <w:t xml:space="preserve"> Ralf Dahrendorf, ‘Struktur und Funktion’, (</w:t>
      </w:r>
      <w:r>
        <w:rPr>
          <w:rFonts w:ascii="Calibri" w:eastAsia="Calibri" w:hAnsi="Calibri" w:cs="Calibri"/>
        </w:rPr>
        <w:t></w:t>
      </w:r>
      <w:r>
        <w:t xml:space="preserve">) </w:t>
      </w:r>
      <w:r>
        <w:rPr>
          <w:rFonts w:ascii="Calibri" w:eastAsia="Calibri" w:hAnsi="Calibri" w:cs="Calibri"/>
        </w:rPr>
        <w:t></w:t>
      </w:r>
      <w:r>
        <w:t xml:space="preserve"> </w:t>
      </w:r>
      <w:r>
        <w:rPr>
          <w:i/>
        </w:rPr>
        <w:t>Kölner Zeitschrift für Soziologie und Sozialpsychologie</w:t>
      </w:r>
      <w:r>
        <w:t xml:space="preserve"> </w:t>
      </w:r>
      <w:r>
        <w:rPr>
          <w:rFonts w:ascii="Calibri" w:eastAsia="Calibri" w:hAnsi="Calibri" w:cs="Calibri"/>
        </w:rPr>
        <w:t></w:t>
      </w:r>
      <w:r>
        <w:t>–</w:t>
      </w:r>
      <w:r>
        <w:rPr>
          <w:rFonts w:ascii="Calibri" w:eastAsia="Calibri" w:hAnsi="Calibri" w:cs="Calibri"/>
        </w:rPr>
        <w:t></w:t>
      </w:r>
      <w:r>
        <w:t xml:space="preserve">; </w:t>
      </w:r>
      <w:r>
        <w:rPr>
          <w:i/>
        </w:rPr>
        <w:t>idem</w:t>
      </w:r>
      <w:r>
        <w:t>, ‘Out of Utopia: Toward a Reorientation of Sociological Analysis’, (</w:t>
      </w:r>
      <w:r>
        <w:rPr>
          <w:rFonts w:ascii="Calibri" w:eastAsia="Calibri" w:hAnsi="Calibri" w:cs="Calibri"/>
        </w:rPr>
        <w:t></w:t>
      </w:r>
      <w:r>
        <w:t xml:space="preserve">) </w:t>
      </w:r>
      <w:r>
        <w:rPr>
          <w:rFonts w:ascii="Calibri" w:eastAsia="Calibri" w:hAnsi="Calibri" w:cs="Calibri"/>
        </w:rPr>
        <w:t></w:t>
      </w:r>
      <w:r>
        <w:t xml:space="preserve"> </w:t>
      </w:r>
      <w:r>
        <w:rPr>
          <w:i/>
        </w:rPr>
        <w:t>American Journal of Sociology</w:t>
      </w:r>
      <w:r>
        <w:t xml:space="preserve"> </w:t>
      </w:r>
      <w:r>
        <w:rPr>
          <w:rFonts w:ascii="Calibri" w:eastAsia="Calibri" w:hAnsi="Calibri" w:cs="Calibri"/>
        </w:rPr>
        <w:t></w:t>
      </w:r>
      <w:r>
        <w:t>–</w:t>
      </w:r>
      <w:r>
        <w:rPr>
          <w:rFonts w:ascii="Calibri" w:eastAsia="Calibri" w:hAnsi="Calibri" w:cs="Calibri"/>
        </w:rPr>
        <w:t></w:t>
      </w:r>
      <w:r>
        <w:t>; reprinted in Demera</w:t>
      </w:r>
      <w:r>
        <w:t xml:space="preserve">th and Peterson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61">
    <w:p w:rsidR="007479CF" w:rsidRDefault="00CD28B5">
      <w:pPr>
        <w:pStyle w:val="footnotedescription"/>
        <w:spacing w:line="262" w:lineRule="auto"/>
        <w:jc w:val="left"/>
      </w:pPr>
      <w:r>
        <w:rPr>
          <w:rStyle w:val="footnotemark"/>
        </w:rPr>
        <w:footnoteRef/>
      </w:r>
      <w:r>
        <w:t xml:space="preserve"> Victoria E. Bonnell and Lynn Avery Hunt (eds), </w:t>
      </w:r>
      <w:r>
        <w:rPr>
          <w:i/>
        </w:rPr>
        <w:t>Beyond the Cultural Turn: New Directions in the Study of Society and Culture</w:t>
      </w:r>
      <w:r>
        <w:t xml:space="preserve"> (</w:t>
      </w:r>
      <w:r>
        <w:rPr>
          <w:rFonts w:ascii="Calibri" w:eastAsia="Calibri" w:hAnsi="Calibri" w:cs="Calibri"/>
        </w:rPr>
        <w:t></w:t>
      </w:r>
      <w:r>
        <w:t>).</w:t>
      </w:r>
    </w:p>
  </w:footnote>
  <w:footnote w:id="62">
    <w:p w:rsidR="007479CF" w:rsidRDefault="00CD28B5">
      <w:pPr>
        <w:pStyle w:val="footnotedescription"/>
        <w:spacing w:line="262" w:lineRule="auto"/>
      </w:pPr>
      <w:r>
        <w:rPr>
          <w:rStyle w:val="footnotemark"/>
        </w:rPr>
        <w:footnoteRef/>
      </w:r>
      <w:r>
        <w:t xml:space="preserve"> </w:t>
      </w:r>
      <w:r>
        <w:t xml:space="preserve">See eg Austin Sarat and Jonathan Simons (eds), </w:t>
      </w:r>
      <w:r>
        <w:rPr>
          <w:i/>
        </w:rPr>
        <w:t>Cultural Analysis, Cultural Studies and the Law: Moving beyond Legal Realism</w:t>
      </w:r>
      <w:r>
        <w:t xml:space="preserve"> (</w:t>
      </w:r>
      <w:r>
        <w:rPr>
          <w:rFonts w:ascii="Calibri" w:eastAsia="Calibri" w:hAnsi="Calibri" w:cs="Calibri"/>
        </w:rPr>
        <w:t></w:t>
      </w:r>
      <w:r>
        <w:t>).</w:t>
      </w:r>
    </w:p>
  </w:footnote>
  <w:footnote w:id="63">
    <w:p w:rsidR="007479CF" w:rsidRDefault="00CD28B5">
      <w:pPr>
        <w:pStyle w:val="footnotedescription"/>
        <w:spacing w:line="271" w:lineRule="auto"/>
      </w:pPr>
      <w:r>
        <w:rPr>
          <w:rStyle w:val="footnotemark"/>
        </w:rPr>
        <w:footnoteRef/>
      </w:r>
      <w:r>
        <w:t xml:space="preserve"> The general theme for the </w:t>
      </w:r>
      <w:r>
        <w:rPr>
          <w:rFonts w:ascii="Calibri" w:eastAsia="Calibri" w:hAnsi="Calibri" w:cs="Calibri"/>
        </w:rPr>
        <w:t></w:t>
      </w:r>
      <w:r>
        <w:t xml:space="preserve"> Conference of the American Society of Comparative Law will be ‘Comparative Law and Culture’</w:t>
      </w:r>
      <w:r>
        <w:t>.</w:t>
      </w:r>
    </w:p>
  </w:footnote>
  <w:footnote w:id="64">
    <w:p w:rsidR="007479CF" w:rsidRDefault="00CD28B5">
      <w:pPr>
        <w:pStyle w:val="footnotedescription"/>
        <w:spacing w:line="244" w:lineRule="auto"/>
        <w:ind w:right="5"/>
      </w:pPr>
      <w:r>
        <w:rPr>
          <w:rStyle w:val="footnotemark"/>
        </w:rPr>
        <w:footnoteRef/>
      </w:r>
      <w:r>
        <w:t xml:space="preserve"> For connections, see Anne Sophia-Marie van Aaken, ‘Vom Nutzen der ökonomischen Theorie des Rechts für die Rechtsvergleichung’, in </w:t>
      </w:r>
      <w:r>
        <w:rPr>
          <w:i/>
        </w:rPr>
        <w:t xml:space="preserve">Prinzipien des Privatrechts und Rechtsvereinheitlichung: Jahrbuch junger Zivilrechtswissenschaftler </w:t>
      </w:r>
      <w:r>
        <w:rPr>
          <w:rFonts w:ascii="Calibri" w:eastAsia="Calibri" w:hAnsi="Calibri" w:cs="Calibri"/>
          <w:i/>
        </w:rPr>
        <w: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R</w:t>
      </w:r>
      <w:r>
        <w:t xml:space="preserve">einier Kraakman, Paul Davies, Henry Hansmann, Gerard Hertig, Klaus J. Hopt, Hideki Kanda, and Edward Rock, </w:t>
      </w:r>
      <w:r>
        <w:rPr>
          <w:i/>
        </w:rPr>
        <w:t>The Anatomy of Corporate Law: A Comparative and Functional Approach to Corporate Law</w:t>
      </w:r>
      <w:r>
        <w:t xml:space="preserve"> (</w:t>
      </w:r>
      <w:r>
        <w:rPr>
          <w:rFonts w:ascii="Calibri" w:eastAsia="Calibri" w:hAnsi="Calibri" w:cs="Calibri"/>
        </w:rPr>
        <w:t></w:t>
      </w:r>
      <w:r>
        <w:t>); Peter Behrens, ‘Ökonomische Wirkungsanalyse im Kontext f</w:t>
      </w:r>
      <w:r>
        <w:t xml:space="preserve">unktionaler Rechtsvergleichung’ (unpublished paper delivered at the </w:t>
      </w:r>
      <w:r>
        <w:rPr>
          <w:rFonts w:ascii="Calibri" w:eastAsia="Calibri" w:hAnsi="Calibri" w:cs="Calibri"/>
        </w:rPr>
        <w:t></w:t>
      </w:r>
      <w:r>
        <w:t xml:space="preserve"> Conference of the German Society for Comparative Law in Würzburg; summary in [</w:t>
      </w:r>
      <w:r>
        <w:rPr>
          <w:rFonts w:ascii="Calibri" w:eastAsia="Calibri" w:hAnsi="Calibri" w:cs="Calibri"/>
        </w:rPr>
        <w:t></w:t>
      </w:r>
      <w:r>
        <w:t xml:space="preserve">] </w:t>
      </w:r>
      <w:r>
        <w:rPr>
          <w:i/>
        </w:rPr>
        <w:t>Juristenzeitung</w:t>
      </w:r>
      <w:r>
        <w:t xml:space="preserve"> </w:t>
      </w:r>
      <w:r>
        <w:rPr>
          <w:rFonts w:ascii="Calibri" w:eastAsia="Calibri" w:hAnsi="Calibri" w:cs="Calibri"/>
        </w:rPr>
        <w:t></w:t>
      </w:r>
      <w:r>
        <w:t>).</w:t>
      </w:r>
    </w:p>
  </w:footnote>
  <w:footnote w:id="65">
    <w:p w:rsidR="007479CF" w:rsidRDefault="00CD28B5">
      <w:pPr>
        <w:pStyle w:val="footnotedescription"/>
        <w:spacing w:line="249" w:lineRule="auto"/>
        <w:ind w:right="1"/>
      </w:pPr>
      <w:r>
        <w:rPr>
          <w:rStyle w:val="footnotemark"/>
        </w:rPr>
        <w:footnoteRef/>
      </w:r>
      <w:r>
        <w:t xml:space="preserve"> Ralf Michaels, ‘Strukturfragen des Schuldrechts’, in Reinhard Zimmermann, J</w:t>
      </w:r>
      <w:r>
        <w:t xml:space="preserve">oachim Rückert, and Mathias Schmoeckel (eds), </w:t>
      </w:r>
      <w:r>
        <w:rPr>
          <w:i/>
        </w:rPr>
        <w:t>Historisch-kritischer Kommentar zum BGB</w:t>
      </w:r>
      <w:r>
        <w:t xml:space="preserve"> (vol II, forthcoming), vor § </w:t>
      </w:r>
      <w:r>
        <w:rPr>
          <w:rFonts w:ascii="Calibri" w:eastAsia="Calibri" w:hAnsi="Calibri" w:cs="Calibri"/>
        </w:rPr>
        <w:t></w:t>
      </w:r>
      <w:r>
        <w:t xml:space="preserve">, no. </w:t>
      </w:r>
      <w:r>
        <w:rPr>
          <w:rFonts w:ascii="Calibri" w:eastAsia="Calibri" w:hAnsi="Calibri" w:cs="Calibri"/>
        </w:rPr>
        <w:t></w:t>
      </w:r>
      <w:r>
        <w:t>.</w:t>
      </w:r>
    </w:p>
  </w:footnote>
  <w:footnote w:id="66">
    <w:p w:rsidR="007479CF" w:rsidRDefault="00CD28B5">
      <w:pPr>
        <w:pStyle w:val="footnotedescription"/>
        <w:spacing w:line="246" w:lineRule="auto"/>
        <w:ind w:right="5"/>
      </w:pPr>
      <w:r>
        <w:rPr>
          <w:rStyle w:val="footnotemark"/>
        </w:rPr>
        <w:footnoteRef/>
      </w:r>
      <w:r>
        <w:t xml:space="preserve"> Vivian Grosswald Curran, ‘Fear of Formalism: Indications from the Fascist Period in France and Germany of Judicial Methodology</w:t>
      </w:r>
      <w:r>
        <w:t>’s Impact on Substantive Law’, (</w:t>
      </w:r>
      <w:r>
        <w:rPr>
          <w:rFonts w:ascii="Calibri" w:eastAsia="Calibri" w:hAnsi="Calibri" w:cs="Calibri"/>
        </w:rPr>
        <w:t></w:t>
      </w:r>
      <w:r>
        <w:t xml:space="preserve">) </w:t>
      </w:r>
      <w:r>
        <w:rPr>
          <w:rFonts w:ascii="Calibri" w:eastAsia="Calibri" w:hAnsi="Calibri" w:cs="Calibri"/>
        </w:rPr>
        <w:t></w:t>
      </w:r>
      <w:r>
        <w:t xml:space="preserve"> </w:t>
      </w:r>
      <w:r>
        <w:rPr>
          <w:i/>
        </w:rPr>
        <w:t xml:space="preserve">Cornell International LJ </w:t>
      </w:r>
      <w:r>
        <w:rPr>
          <w:rFonts w:ascii="Calibri" w:eastAsia="Calibri" w:hAnsi="Calibri" w:cs="Calibri"/>
        </w:rPr>
        <w:t></w:t>
      </w:r>
      <w:r>
        <w:t xml:space="preserve">, </w:t>
      </w:r>
      <w:r>
        <w:rPr>
          <w:rFonts w:ascii="Calibri" w:eastAsia="Calibri" w:hAnsi="Calibri" w:cs="Calibri"/>
        </w:rPr>
        <w:t> ff</w:t>
      </w:r>
      <w:r>
        <w:t>.</w:t>
      </w:r>
    </w:p>
  </w:footnote>
  <w:footnote w:id="67">
    <w:p w:rsidR="007479CF" w:rsidRDefault="00CD28B5">
      <w:pPr>
        <w:pStyle w:val="footnotedescription"/>
        <w:spacing w:line="244" w:lineRule="auto"/>
        <w:ind w:right="6"/>
      </w:pPr>
      <w:r>
        <w:rPr>
          <w:rStyle w:val="footnotemark"/>
        </w:rPr>
        <w:footnoteRef/>
      </w:r>
      <w:r>
        <w:t xml:space="preserve"> Cassirer (n </w:t>
      </w:r>
      <w:r>
        <w:rPr>
          <w:rFonts w:ascii="Calibri" w:eastAsia="Calibri" w:hAnsi="Calibri" w:cs="Calibri"/>
        </w:rPr>
        <w:t></w:t>
      </w:r>
      <w:r>
        <w:t>); for a less in</w:t>
      </w:r>
      <w:r>
        <w:rPr>
          <w:rFonts w:ascii="Calibri" w:eastAsia="Calibri" w:hAnsi="Calibri" w:cs="Calibri"/>
        </w:rPr>
        <w:t>fl</w:t>
      </w:r>
      <w:r>
        <w:t>uential approach, see Laurence J. La</w:t>
      </w:r>
      <w:r>
        <w:rPr>
          <w:rFonts w:ascii="Calibri" w:eastAsia="Calibri" w:hAnsi="Calibri" w:cs="Calibri"/>
        </w:rPr>
        <w:t>fl</w:t>
      </w:r>
      <w:r>
        <w:t>eur, ‘Epistemological Functionalism’, (</w:t>
      </w:r>
      <w:r>
        <w:rPr>
          <w:rFonts w:ascii="Calibri" w:eastAsia="Calibri" w:hAnsi="Calibri" w:cs="Calibri"/>
        </w:rPr>
        <w:t></w:t>
      </w:r>
      <w:r>
        <w:t xml:space="preserve">) </w:t>
      </w:r>
      <w:r>
        <w:rPr>
          <w:rFonts w:ascii="Calibri" w:eastAsia="Calibri" w:hAnsi="Calibri" w:cs="Calibri"/>
        </w:rPr>
        <w:t></w:t>
      </w:r>
      <w:r>
        <w:t xml:space="preserve"> </w:t>
      </w:r>
      <w:r>
        <w:rPr>
          <w:i/>
        </w:rPr>
        <w:t>The Philosophical Review</w:t>
      </w:r>
      <w:r>
        <w:t xml:space="preserve"> </w:t>
      </w:r>
      <w:r>
        <w:rPr>
          <w:rFonts w:ascii="Calibri" w:eastAsia="Calibri" w:hAnsi="Calibri" w:cs="Calibri"/>
        </w:rPr>
        <w:t></w:t>
      </w:r>
      <w:r>
        <w:t xml:space="preserve">, </w:t>
      </w:r>
      <w:r>
        <w:rPr>
          <w:rFonts w:ascii="Calibri" w:eastAsia="Calibri" w:hAnsi="Calibri" w:cs="Calibri"/>
        </w:rPr>
        <w:t> ff</w:t>
      </w:r>
      <w:r>
        <w:t xml:space="preserve">. Heinrich Rombach, </w:t>
      </w:r>
      <w:r>
        <w:rPr>
          <w:i/>
        </w:rPr>
        <w:t>S</w:t>
      </w:r>
      <w:r>
        <w:rPr>
          <w:i/>
        </w:rPr>
        <w:t xml:space="preserve">ubstanz, System, Struktur: Die Ontologie des Funktionalismus und der philosophische Hintergrund der modernen Wissenschaft </w:t>
      </w:r>
      <w:r>
        <w:t xml:space="preserve">(vol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ff</w:t>
      </w:r>
      <w:r>
        <w:t xml:space="preserve">, sees the roots of functionalism in the work of Cusanus and Descartes. </w:t>
      </w:r>
      <w:r>
        <w:rPr>
          <w:b/>
          <w:vertAlign w:val="superscript"/>
        </w:rPr>
        <w:t xml:space="preserve">83 </w:t>
      </w:r>
      <w:r>
        <w:t xml:space="preserve">Cassirer (n </w:t>
      </w:r>
      <w:r>
        <w:rPr>
          <w:rFonts w:ascii="Calibri" w:eastAsia="Calibri" w:hAnsi="Calibri" w:cs="Calibri"/>
        </w:rPr>
        <w:t></w:t>
      </w:r>
      <w:r>
        <w:t xml:space="preserve">), </w:t>
      </w:r>
      <w:r>
        <w:rPr>
          <w:rFonts w:ascii="Calibri" w:eastAsia="Calibri" w:hAnsi="Calibri" w:cs="Calibri"/>
        </w:rPr>
        <w:t xml:space="preserve"> </w:t>
      </w:r>
      <w:r>
        <w:t xml:space="preserve">f. </w:t>
      </w:r>
      <w:r>
        <w:rPr>
          <w:b/>
          <w:vertAlign w:val="superscript"/>
        </w:rPr>
        <w:t xml:space="preserve">84 </w:t>
      </w:r>
      <w:r>
        <w:t xml:space="preserve">cf Cassirer (n </w:t>
      </w:r>
      <w:r>
        <w:rPr>
          <w:rFonts w:ascii="Calibri" w:eastAsia="Calibri" w:hAnsi="Calibri" w:cs="Calibri"/>
        </w:rPr>
        <w:t></w:t>
      </w:r>
      <w:r>
        <w:t xml:space="preserve">), </w:t>
      </w:r>
      <w:r>
        <w:rPr>
          <w:rFonts w:ascii="Calibri" w:eastAsia="Calibri" w:hAnsi="Calibri" w:cs="Calibri"/>
        </w:rPr>
        <w:t> ff</w:t>
      </w:r>
      <w:r>
        <w:t xml:space="preserve">, </w:t>
      </w:r>
      <w:r>
        <w:rPr>
          <w:rFonts w:ascii="Calibri" w:eastAsia="Calibri" w:hAnsi="Calibri" w:cs="Calibri"/>
        </w:rPr>
        <w:t> ff</w:t>
      </w:r>
      <w:r>
        <w:t>.</w:t>
      </w:r>
    </w:p>
  </w:footnote>
  <w:footnote w:id="68">
    <w:p w:rsidR="007479CF" w:rsidRDefault="00CD28B5">
      <w:pPr>
        <w:pStyle w:val="footnotedescription"/>
        <w:spacing w:line="244" w:lineRule="auto"/>
        <w:ind w:right="6"/>
      </w:pPr>
      <w:r>
        <w:rPr>
          <w:rStyle w:val="footnotemark"/>
        </w:rPr>
        <w:footnoteRef/>
      </w:r>
      <w:r>
        <w:t xml:space="preserve"> However, Max Hartmann’s somewhat comparable philosophy of science did in</w:t>
      </w:r>
      <w:r>
        <w:rPr>
          <w:rFonts w:ascii="Calibri" w:eastAsia="Calibri" w:hAnsi="Calibri" w:cs="Calibri"/>
        </w:rPr>
        <w:t>fl</w:t>
      </w:r>
      <w:r>
        <w:t>uence Georges Langrod, ‘Quelques ré</w:t>
      </w:r>
      <w:r>
        <w:rPr>
          <w:rFonts w:ascii="Calibri" w:eastAsia="Calibri" w:hAnsi="Calibri" w:cs="Calibri"/>
        </w:rPr>
        <w:t>fl</w:t>
      </w:r>
      <w:r>
        <w:t>exions méthodologiques sur la comparaison en science juridique’, (</w:t>
      </w:r>
      <w:r>
        <w:rPr>
          <w:rFonts w:ascii="Calibri" w:eastAsia="Calibri" w:hAnsi="Calibri" w:cs="Calibri"/>
        </w:rPr>
        <w:t></w:t>
      </w:r>
      <w:r>
        <w:t xml:space="preserve">) </w:t>
      </w:r>
      <w:r>
        <w:rPr>
          <w:rFonts w:ascii="Calibri" w:eastAsia="Calibri" w:hAnsi="Calibri" w:cs="Calibri"/>
        </w:rPr>
        <w:t xml:space="preserve"> </w:t>
      </w:r>
      <w:r>
        <w:rPr>
          <w:i/>
        </w:rPr>
        <w:t>RIDC</w:t>
      </w:r>
      <w:r>
        <w:t xml:space="preserve"> </w:t>
      </w:r>
      <w:r>
        <w:rPr>
          <w:rFonts w:ascii="Calibri" w:eastAsia="Calibri" w:hAnsi="Calibri" w:cs="Calibri"/>
        </w:rPr>
        <w:t></w:t>
      </w:r>
      <w:r>
        <w:t xml:space="preserve">, </w:t>
      </w:r>
      <w:r>
        <w:rPr>
          <w:rFonts w:ascii="Calibri" w:eastAsia="Calibri" w:hAnsi="Calibri" w:cs="Calibri"/>
        </w:rPr>
        <w:t> ff</w:t>
      </w:r>
      <w:r>
        <w:t>; reprinted in Zwe</w:t>
      </w:r>
      <w:r>
        <w:t xml:space="preserve">igert and Puttfarken (n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ff</w:t>
      </w:r>
      <w:r>
        <w:t>.</w:t>
      </w:r>
    </w:p>
  </w:footnote>
  <w:footnote w:id="69">
    <w:p w:rsidR="007479CF" w:rsidRDefault="00CD28B5">
      <w:pPr>
        <w:pStyle w:val="footnotedescription"/>
        <w:spacing w:line="247" w:lineRule="auto"/>
      </w:pPr>
      <w:r>
        <w:rPr>
          <w:rStyle w:val="footnotemark"/>
        </w:rPr>
        <w:footnoteRef/>
      </w:r>
      <w:r>
        <w:t xml:space="preserve"> Walter Goldschmidt, </w:t>
      </w:r>
      <w:r>
        <w:rPr>
          <w:i/>
        </w:rPr>
        <w:t>Comparative Functionalism: An Essay in Anthropological Theory</w:t>
      </w:r>
      <w:r>
        <w:t xml:space="preserve"> (</w:t>
      </w:r>
      <w:r>
        <w:rPr>
          <w:rFonts w:ascii="Calibri" w:eastAsia="Calibri" w:hAnsi="Calibri" w:cs="Calibri"/>
        </w:rPr>
        <w:t></w:t>
      </w:r>
      <w:r>
        <w:t xml:space="preserve">), </w:t>
      </w:r>
      <w:r>
        <w:rPr>
          <w:rFonts w:ascii="Calibri" w:eastAsia="Calibri" w:hAnsi="Calibri" w:cs="Calibri"/>
        </w:rPr>
        <w:t></w:t>
      </w:r>
      <w:r>
        <w:t xml:space="preserve">; see also </w:t>
      </w:r>
      <w:r>
        <w:rPr>
          <w:rFonts w:ascii="Calibri" w:eastAsia="Calibri" w:hAnsi="Calibri" w:cs="Calibri"/>
        </w:rPr>
        <w:t></w:t>
      </w:r>
      <w:r>
        <w:t>: ‘similar problems evoke similar solutions’.</w:t>
      </w:r>
    </w:p>
  </w:footnote>
  <w:footnote w:id="70">
    <w:p w:rsidR="007479CF" w:rsidRDefault="00CD28B5">
      <w:pPr>
        <w:pStyle w:val="footnotedescription"/>
        <w:spacing w:line="257" w:lineRule="auto"/>
      </w:pPr>
      <w:r>
        <w:rPr>
          <w:rStyle w:val="footnotemark"/>
        </w:rPr>
        <w:footnoteRef/>
      </w:r>
      <w:r>
        <w:t xml:space="preserve"> Rabel, </w:t>
      </w:r>
      <w:r>
        <w:rPr>
          <w:rFonts w:ascii="Calibri" w:eastAsia="Calibri" w:hAnsi="Calibri" w:cs="Calibri"/>
        </w:rPr>
        <w:t></w:t>
      </w:r>
      <w:r>
        <w:t xml:space="preserve"> </w:t>
      </w:r>
      <w:r>
        <w:rPr>
          <w:i/>
        </w:rPr>
        <w:t>Rheinische Zeitschrift für Zivil- und Prozeßrecht</w:t>
      </w:r>
      <w:r>
        <w:t xml:space="preserve"> </w:t>
      </w:r>
      <w:r>
        <w:rPr>
          <w:rFonts w:ascii="Calibri" w:eastAsia="Calibri" w:hAnsi="Calibri" w:cs="Calibri"/>
        </w:rPr>
        <w:t></w:t>
      </w:r>
      <w:r>
        <w:t xml:space="preserve"> (‘wesensverwandte Einrichtungen und Entwicklungen’).</w:t>
      </w:r>
    </w:p>
  </w:footnote>
  <w:footnote w:id="71">
    <w:p w:rsidR="007479CF" w:rsidRDefault="00CD28B5">
      <w:pPr>
        <w:pStyle w:val="footnotedescription"/>
        <w:spacing w:line="249" w:lineRule="auto"/>
        <w:ind w:right="5"/>
      </w:pPr>
      <w:r>
        <w:rPr>
          <w:rStyle w:val="footnotemark"/>
        </w:rPr>
        <w:footnoteRef/>
      </w:r>
      <w:r>
        <w:t xml:space="preserve"> Karl Renner, </w:t>
      </w:r>
      <w:r>
        <w:rPr>
          <w:i/>
        </w:rPr>
        <w:t>Die Rechtsinstitute des Privatrechts und ihre soziale Funktion: ein Beitrag zur Kritik des Bürgerlichen Rechts</w:t>
      </w:r>
      <w:r>
        <w:t xml:space="preserve"> (</w:t>
      </w:r>
      <w:r>
        <w:rPr>
          <w:rFonts w:ascii="Calibri" w:eastAsia="Calibri" w:hAnsi="Calibri" w:cs="Calibri"/>
        </w:rPr>
        <w:t></w:t>
      </w:r>
      <w:r>
        <w:t xml:space="preserve">; English translation under the title </w:t>
      </w:r>
      <w:r>
        <w:rPr>
          <w:i/>
        </w:rPr>
        <w:t>The Institutions of Private L</w:t>
      </w:r>
      <w:r>
        <w:rPr>
          <w:i/>
        </w:rPr>
        <w:t>aw and their Social Functions</w:t>
      </w:r>
      <w:r>
        <w:t xml:space="preserve"> by Agnes Schwarzschild, edited by Otto Kahn-Freund, </w:t>
      </w:r>
      <w:r>
        <w:rPr>
          <w:rFonts w:ascii="Calibri" w:eastAsia="Calibri" w:hAnsi="Calibri" w:cs="Calibri"/>
        </w:rPr>
        <w:t></w:t>
      </w:r>
      <w:r>
        <w:t>).</w:t>
      </w:r>
    </w:p>
  </w:footnote>
  <w:footnote w:id="72">
    <w:p w:rsidR="007479CF" w:rsidRDefault="00CD28B5">
      <w:pPr>
        <w:pStyle w:val="footnotedescription"/>
        <w:tabs>
          <w:tab w:val="center" w:pos="833"/>
          <w:tab w:val="center" w:pos="3236"/>
        </w:tabs>
        <w:spacing w:after="5" w:line="259" w:lineRule="auto"/>
        <w:ind w:firstLine="0"/>
        <w:jc w:val="left"/>
      </w:pPr>
      <w:r>
        <w:rPr>
          <w:rStyle w:val="footnotemark"/>
        </w:rPr>
        <w:footnoteRef/>
      </w:r>
      <w:r>
        <w:t xml:space="preserve"> Salomon (n </w:t>
      </w:r>
      <w:r>
        <w:rPr>
          <w:rFonts w:ascii="Calibri" w:eastAsia="Calibri" w:hAnsi="Calibri" w:cs="Calibri"/>
        </w:rPr>
        <w:t></w:t>
      </w:r>
      <w:r>
        <w:t>).</w:t>
      </w:r>
      <w:r>
        <w:tab/>
      </w:r>
      <w:r>
        <w:rPr>
          <w:b/>
          <w:vertAlign w:val="superscript"/>
        </w:rPr>
        <w:t xml:space="preserve">91 </w:t>
      </w:r>
      <w:r>
        <w:t xml:space="preserve">Esser (n </w:t>
      </w:r>
      <w:r>
        <w:rPr>
          <w:rFonts w:ascii="Calibri" w:eastAsia="Calibri" w:hAnsi="Calibri" w:cs="Calibri"/>
        </w:rPr>
        <w:t></w:t>
      </w:r>
      <w:r>
        <w:t xml:space="preserve">), especially at </w:t>
      </w:r>
      <w:r>
        <w:rPr>
          <w:rFonts w:ascii="Calibri" w:eastAsia="Calibri" w:hAnsi="Calibri" w:cs="Calibri"/>
        </w:rPr>
        <w:t> ff</w:t>
      </w:r>
      <w:r>
        <w:t>.</w:t>
      </w:r>
    </w:p>
  </w:footnote>
  <w:footnote w:id="73">
    <w:p w:rsidR="007479CF" w:rsidRDefault="00CD28B5">
      <w:pPr>
        <w:pStyle w:val="footnotedescription"/>
        <w:spacing w:line="242" w:lineRule="auto"/>
      </w:pPr>
      <w:r>
        <w:rPr>
          <w:rStyle w:val="footnotemark"/>
        </w:rPr>
        <w:footnoteRef/>
      </w:r>
      <w:r>
        <w:t xml:space="preserve"> Konrad Zweigert, ‘Des solutions identiques par des voies di</w:t>
      </w:r>
      <w:r>
        <w:rPr>
          <w:rFonts w:ascii="Calibri" w:eastAsia="Calibri" w:hAnsi="Calibri" w:cs="Calibri"/>
        </w:rPr>
        <w:t>ff</w:t>
      </w:r>
      <w:r>
        <w:t>érentes’, (</w:t>
      </w:r>
      <w:r>
        <w:rPr>
          <w:rFonts w:ascii="Calibri" w:eastAsia="Calibri" w:hAnsi="Calibri" w:cs="Calibri"/>
        </w:rPr>
        <w:t></w:t>
      </w:r>
      <w:r>
        <w:t xml:space="preserve">) </w:t>
      </w:r>
      <w:r>
        <w:rPr>
          <w:rFonts w:ascii="Calibri" w:eastAsia="Calibri" w:hAnsi="Calibri" w:cs="Calibri"/>
        </w:rPr>
        <w:t></w:t>
      </w:r>
      <w:r>
        <w:t xml:space="preserve"> </w:t>
      </w:r>
      <w:r>
        <w:rPr>
          <w:i/>
        </w:rPr>
        <w:t>RIDC</w:t>
      </w:r>
      <w:r>
        <w:t xml:space="preserve"> </w:t>
      </w:r>
      <w:r>
        <w:rPr>
          <w:rFonts w:ascii="Calibri" w:eastAsia="Calibri" w:hAnsi="Calibri" w:cs="Calibri"/>
        </w:rPr>
        <w:t></w:t>
      </w:r>
      <w:r>
        <w:t>–</w:t>
      </w:r>
      <w:r>
        <w:rPr>
          <w:rFonts w:ascii="Calibri" w:eastAsia="Calibri" w:hAnsi="Calibri" w:cs="Calibri"/>
        </w:rPr>
        <w:t></w:t>
      </w:r>
      <w:r>
        <w:t xml:space="preserve">; for a German version, see ‘Die “praesumptio similitudinis” als Grundsatzvermutung rechtsvergleichender Methode’, in Rotondi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a partial English translation can be found in Volkmar Gessner, Armin Hoeland, and Csaba Varga (eds), </w:t>
      </w:r>
      <w:r>
        <w:rPr>
          <w:i/>
        </w:rPr>
        <w:t>European Lega</w:t>
      </w:r>
      <w:r>
        <w:rPr>
          <w:i/>
        </w:rPr>
        <w:t>l Cultures</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74">
    <w:p w:rsidR="007479CF" w:rsidRDefault="00CD28B5">
      <w:pPr>
        <w:pStyle w:val="footnotedescription"/>
        <w:spacing w:line="245" w:lineRule="auto"/>
      </w:pPr>
      <w:r>
        <w:rPr>
          <w:rStyle w:val="footnotemark"/>
        </w:rPr>
        <w:footnoteRef/>
      </w:r>
      <w:r>
        <w:t xml:space="preserve"> eg Hein Kötz, </w:t>
      </w:r>
      <w:r>
        <w:rPr>
          <w:i/>
        </w:rPr>
        <w:t>Trust und Treuhand</w:t>
      </w:r>
      <w:r>
        <w:t xml:space="preserve"> (</w:t>
      </w:r>
      <w:r>
        <w:rPr>
          <w:rFonts w:ascii="Calibri" w:eastAsia="Calibri" w:hAnsi="Calibri" w:cs="Calibri"/>
        </w:rPr>
        <w:t></w:t>
      </w:r>
      <w:r>
        <w:t>); Henry Hansmann and Ugo Mattei, ‘The Functions of Trust Law: A Comparative Legal and Economic Analysis’, (</w:t>
      </w:r>
      <w:r>
        <w:rPr>
          <w:rFonts w:ascii="Calibri" w:eastAsia="Calibri" w:hAnsi="Calibri" w:cs="Calibri"/>
        </w:rPr>
        <w:t></w:t>
      </w:r>
      <w:r>
        <w:t xml:space="preserve">) </w:t>
      </w:r>
      <w:r>
        <w:rPr>
          <w:rFonts w:ascii="Calibri" w:eastAsia="Calibri" w:hAnsi="Calibri" w:cs="Calibri"/>
        </w:rPr>
        <w:t></w:t>
      </w:r>
      <w:r>
        <w:t xml:space="preserve"> </w:t>
      </w:r>
      <w:r>
        <w:rPr>
          <w:i/>
        </w:rPr>
        <w:t>New York University LR</w:t>
      </w:r>
      <w:r>
        <w:t xml:space="preserve"> </w:t>
      </w:r>
      <w:r>
        <w:rPr>
          <w:rFonts w:ascii="Calibri" w:eastAsia="Calibri" w:hAnsi="Calibri" w:cs="Calibri"/>
        </w:rPr>
        <w:t></w:t>
      </w:r>
      <w:r>
        <w:t>–</w:t>
      </w:r>
      <w:r>
        <w:rPr>
          <w:rFonts w:ascii="Calibri" w:eastAsia="Calibri" w:hAnsi="Calibri" w:cs="Calibri"/>
        </w:rPr>
        <w:t></w:t>
      </w:r>
      <w:r>
        <w:t>.</w:t>
      </w:r>
    </w:p>
  </w:footnote>
  <w:footnote w:id="75">
    <w:p w:rsidR="007479CF" w:rsidRDefault="00CD28B5">
      <w:pPr>
        <w:pStyle w:val="footnotedescription"/>
        <w:spacing w:after="6" w:line="243" w:lineRule="auto"/>
        <w:ind w:right="5"/>
      </w:pPr>
      <w:r>
        <w:rPr>
          <w:rStyle w:val="footnotemark"/>
        </w:rPr>
        <w:footnoteRef/>
      </w:r>
      <w:r>
        <w:t xml:space="preserve"> Arthur T. von Mehren, ‘Civil-Law Analogu</w:t>
      </w:r>
      <w:r>
        <w:t>es to Consideration: An Exercise in Comparative Analysis’, (</w:t>
      </w:r>
      <w:r>
        <w:rPr>
          <w:rFonts w:ascii="Calibri" w:eastAsia="Calibri" w:hAnsi="Calibri" w:cs="Calibri"/>
        </w:rPr>
        <w:t></w:t>
      </w:r>
      <w:r>
        <w:t xml:space="preserve">) </w:t>
      </w:r>
      <w:r>
        <w:rPr>
          <w:rFonts w:ascii="Calibri" w:eastAsia="Calibri" w:hAnsi="Calibri" w:cs="Calibri"/>
        </w:rPr>
        <w:t></w:t>
      </w:r>
      <w:r>
        <w:t xml:space="preserve"> </w:t>
      </w:r>
      <w:r>
        <w:rPr>
          <w:i/>
        </w:rPr>
        <w:t>Harvard LR</w:t>
      </w:r>
      <w:r>
        <w:t xml:space="preserve"> </w:t>
      </w:r>
      <w:r>
        <w:rPr>
          <w:rFonts w:ascii="Calibri" w:eastAsia="Calibri" w:hAnsi="Calibri" w:cs="Calibri"/>
        </w:rPr>
        <w:t></w:t>
      </w:r>
      <w:r>
        <w:t>–</w:t>
      </w:r>
      <w:r>
        <w:rPr>
          <w:rFonts w:ascii="Calibri" w:eastAsia="Calibri" w:hAnsi="Calibri" w:cs="Calibri"/>
        </w:rPr>
        <w:t></w:t>
      </w:r>
      <w:r>
        <w:t xml:space="preserve">; Zweigert and Kötz (n </w:t>
      </w:r>
      <w:r>
        <w:rPr>
          <w:rFonts w:ascii="Calibri" w:eastAsia="Calibri" w:hAnsi="Calibri" w:cs="Calibri"/>
        </w:rPr>
        <w:t></w:t>
      </w:r>
      <w:r>
        <w:t xml:space="preserve">), ch </w:t>
      </w:r>
      <w:r>
        <w:rPr>
          <w:rFonts w:ascii="Calibri" w:eastAsia="Calibri" w:hAnsi="Calibri" w:cs="Calibri"/>
        </w:rPr>
        <w:t></w:t>
      </w:r>
      <w:r>
        <w:t>—‘Indicia of Seriousness’; Basil S. Markesinis, ‘Cause and Consideration: A Study in Parallel’, (</w:t>
      </w:r>
      <w:r>
        <w:rPr>
          <w:rFonts w:ascii="Calibri" w:eastAsia="Calibri" w:hAnsi="Calibri" w:cs="Calibri"/>
        </w:rPr>
        <w:t></w:t>
      </w:r>
      <w:r>
        <w:t xml:space="preserve">) </w:t>
      </w:r>
      <w:r>
        <w:rPr>
          <w:rFonts w:ascii="Calibri" w:eastAsia="Calibri" w:hAnsi="Calibri" w:cs="Calibri"/>
        </w:rPr>
        <w:t></w:t>
      </w:r>
      <w:r>
        <w:t xml:space="preserve"> </w:t>
      </w:r>
      <w:r>
        <w:rPr>
          <w:i/>
        </w:rPr>
        <w:t>Cambridge LJ</w:t>
      </w:r>
      <w:r>
        <w:t xml:space="preserve"> </w:t>
      </w:r>
      <w:r>
        <w:rPr>
          <w:rFonts w:ascii="Calibri" w:eastAsia="Calibri" w:hAnsi="Calibri" w:cs="Calibri"/>
        </w:rPr>
        <w:t></w:t>
      </w:r>
      <w:r>
        <w:t>–</w:t>
      </w:r>
      <w:r>
        <w:rPr>
          <w:rFonts w:ascii="Calibri" w:eastAsia="Calibri" w:hAnsi="Calibri" w:cs="Calibri"/>
        </w:rPr>
        <w:t></w:t>
      </w:r>
      <w:r>
        <w:t>; Ferdinand F</w:t>
      </w:r>
      <w:r>
        <w:t xml:space="preserve">romholzer, </w:t>
      </w:r>
      <w:r>
        <w:rPr>
          <w:i/>
        </w:rPr>
        <w:t>Consideration</w:t>
      </w:r>
      <w:r>
        <w:t xml:space="preserve"> (</w:t>
      </w:r>
      <w:r>
        <w:rPr>
          <w:rFonts w:ascii="Calibri" w:eastAsia="Calibri" w:hAnsi="Calibri" w:cs="Calibri"/>
        </w:rPr>
        <w:t></w:t>
      </w:r>
      <w:r>
        <w:t>).</w:t>
      </w:r>
    </w:p>
  </w:footnote>
  <w:footnote w:id="76">
    <w:p w:rsidR="007479CF" w:rsidRDefault="00CD28B5">
      <w:pPr>
        <w:pStyle w:val="footnotedescription"/>
        <w:spacing w:line="240" w:lineRule="auto"/>
        <w:ind w:right="6"/>
      </w:pPr>
      <w:r>
        <w:rPr>
          <w:rStyle w:val="footnotemark"/>
        </w:rPr>
        <w:footnoteRef/>
      </w:r>
      <w:r>
        <w:t xml:space="preserve"> See Zweigert, </w:t>
      </w:r>
      <w:r>
        <w:rPr>
          <w:rFonts w:ascii="Calibri" w:eastAsia="Calibri" w:hAnsi="Calibri" w:cs="Calibri"/>
        </w:rPr>
        <w:t></w:t>
      </w:r>
      <w:r>
        <w:t xml:space="preserve"> </w:t>
      </w:r>
      <w:r>
        <w:rPr>
          <w:i/>
        </w:rPr>
        <w:t>Israel LR</w:t>
      </w:r>
      <w:r>
        <w:t xml:space="preserve"> </w:t>
      </w:r>
      <w:r>
        <w:rPr>
          <w:rFonts w:ascii="Calibri" w:eastAsia="Calibri" w:hAnsi="Calibri" w:cs="Calibri"/>
        </w:rPr>
        <w:t xml:space="preserve"> </w:t>
      </w:r>
      <w:r>
        <w:t>f; Konrad Zweigert and Hans-Jürgen Puttfarken, ‘Possibilities of Comparing Analogous Institutions of Law in Di</w:t>
      </w:r>
      <w:r>
        <w:rPr>
          <w:rFonts w:ascii="Calibri" w:eastAsia="Calibri" w:hAnsi="Calibri" w:cs="Calibri"/>
        </w:rPr>
        <w:t>ff</w:t>
      </w:r>
      <w:r>
        <w:t>erent Social Systems’, (</w:t>
      </w:r>
      <w:r>
        <w:rPr>
          <w:rFonts w:ascii="Calibri" w:eastAsia="Calibri" w:hAnsi="Calibri" w:cs="Calibri"/>
        </w:rPr>
        <w:t></w:t>
      </w:r>
      <w:r>
        <w:t xml:space="preserve">) </w:t>
      </w:r>
      <w:r>
        <w:rPr>
          <w:rFonts w:ascii="Calibri" w:eastAsia="Calibri" w:hAnsi="Calibri" w:cs="Calibri"/>
        </w:rPr>
        <w:t></w:t>
      </w:r>
      <w:r>
        <w:t xml:space="preserve"> </w:t>
      </w:r>
      <w:r>
        <w:rPr>
          <w:i/>
        </w:rPr>
        <w:t>Acta Juridica Academiae Scientiarium Hungarica</w:t>
      </w:r>
      <w:r>
        <w:rPr>
          <w:i/>
        </w:rPr>
        <w:t>e</w:t>
      </w:r>
      <w:r>
        <w:t xml:space="preserve"> </w:t>
      </w:r>
      <w:r>
        <w:rPr>
          <w:rFonts w:ascii="Calibri" w:eastAsia="Calibri" w:hAnsi="Calibri" w:cs="Calibri"/>
        </w:rPr>
        <w:t></w:t>
      </w:r>
      <w:r>
        <w:t>–</w:t>
      </w:r>
      <w:r>
        <w:rPr>
          <w:rFonts w:ascii="Calibri" w:eastAsia="Calibri" w:hAnsi="Calibri" w:cs="Calibri"/>
        </w:rPr>
        <w:t></w:t>
      </w:r>
      <w:r>
        <w:t xml:space="preserve">, German translation in </w:t>
      </w:r>
      <w:r>
        <w:rPr>
          <w:i/>
        </w:rPr>
        <w:t>idem</w:t>
      </w:r>
      <w:r>
        <w:t xml:space="preserve">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Szabó (n </w:t>
      </w:r>
      <w:r>
        <w:rPr>
          <w:rFonts w:ascii="Calibri" w:eastAsia="Calibri" w:hAnsi="Calibri" w:cs="Calibri"/>
        </w:rPr>
        <w:t></w:t>
      </w:r>
      <w:r>
        <w:t>).</w:t>
      </w:r>
    </w:p>
  </w:footnote>
  <w:footnote w:id="77">
    <w:p w:rsidR="007479CF" w:rsidRDefault="00CD28B5">
      <w:pPr>
        <w:pStyle w:val="footnotedescription"/>
        <w:spacing w:line="242" w:lineRule="auto"/>
        <w:ind w:right="6"/>
      </w:pPr>
      <w:r>
        <w:rPr>
          <w:rStyle w:val="footnotemark"/>
        </w:rPr>
        <w:footnoteRef/>
      </w:r>
      <w:r>
        <w:t xml:space="preserve"> But see now Kirsten Scheiwe, ‘</w:t>
      </w:r>
      <w:r>
        <w:t>Was ist ein funktionales Äquivalent in der Rechtsvergleichung? Eine Diskussion an Hand von Beispielen aus dem Familien- und Sozialrecht’, (</w:t>
      </w:r>
      <w:r>
        <w:rPr>
          <w:rFonts w:ascii="Calibri" w:eastAsia="Calibri" w:hAnsi="Calibri" w:cs="Calibri"/>
        </w:rPr>
        <w:t></w:t>
      </w:r>
      <w:r>
        <w:t xml:space="preserve">) </w:t>
      </w:r>
      <w:r>
        <w:rPr>
          <w:rFonts w:ascii="Calibri" w:eastAsia="Calibri" w:hAnsi="Calibri" w:cs="Calibri"/>
        </w:rPr>
        <w:t></w:t>
      </w:r>
      <w:r>
        <w:t xml:space="preserve"> </w:t>
      </w:r>
      <w:r>
        <w:rPr>
          <w:i/>
        </w:rPr>
        <w:t>Kritische Vierteljahresschrift für Gesetzgebung und Rechtswissenschaft</w:t>
      </w:r>
      <w:r>
        <w:t xml:space="preserve"> </w:t>
      </w:r>
      <w:r>
        <w:rPr>
          <w:rFonts w:ascii="Calibri" w:eastAsia="Calibri" w:hAnsi="Calibri" w:cs="Calibri"/>
        </w:rPr>
        <w:t></w:t>
      </w:r>
      <w:r>
        <w:t>–</w:t>
      </w:r>
      <w:r>
        <w:rPr>
          <w:rFonts w:ascii="Calibri" w:eastAsia="Calibri" w:hAnsi="Calibri" w:cs="Calibri"/>
        </w:rPr>
        <w:t></w:t>
      </w:r>
      <w:r>
        <w:t xml:space="preserve">. </w:t>
      </w:r>
      <w:r>
        <w:rPr>
          <w:b/>
          <w:vertAlign w:val="superscript"/>
        </w:rPr>
        <w:t xml:space="preserve">97 </w:t>
      </w:r>
      <w:r>
        <w:t xml:space="preserve">Merton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78">
    <w:p w:rsidR="007479CF" w:rsidRDefault="00CD28B5">
      <w:pPr>
        <w:pStyle w:val="footnotedescription"/>
        <w:spacing w:line="274" w:lineRule="auto"/>
      </w:pPr>
      <w:r>
        <w:rPr>
          <w:rStyle w:val="footnotemark"/>
        </w:rPr>
        <w:footnoteRef/>
      </w:r>
      <w:r>
        <w:t xml:space="preserve"> See</w:t>
      </w:r>
      <w:r>
        <w:t xml:space="preserve"> eg Luhmann, </w:t>
      </w:r>
      <w:r>
        <w:rPr>
          <w:i/>
        </w:rPr>
        <w:t>Soziale Systeme</w:t>
      </w:r>
      <w:r>
        <w:t xml:space="preserve">, </w:t>
      </w:r>
      <w:r>
        <w:rPr>
          <w:rFonts w:ascii="Calibri" w:eastAsia="Calibri" w:hAnsi="Calibri" w:cs="Calibri"/>
        </w:rPr>
        <w:t></w:t>
      </w:r>
      <w:r>
        <w:t xml:space="preserve"> </w:t>
      </w:r>
      <w:r>
        <w:rPr>
          <w:rFonts w:ascii="Segoe UI Symbol" w:eastAsia="Segoe UI Symbol" w:hAnsi="Segoe UI Symbol" w:cs="Segoe UI Symbol"/>
        </w:rPr>
        <w:t>=</w:t>
      </w:r>
      <w:r>
        <w:t xml:space="preserve"> </w:t>
      </w:r>
      <w:r>
        <w:rPr>
          <w:i/>
        </w:rPr>
        <w:t>Social Systems</w:t>
      </w:r>
      <w:r>
        <w:t xml:space="preserve">, </w:t>
      </w:r>
      <w:r>
        <w:rPr>
          <w:rFonts w:ascii="Calibri" w:eastAsia="Calibri" w:hAnsi="Calibri" w:cs="Calibri"/>
        </w:rPr>
        <w:t></w:t>
      </w:r>
      <w:r>
        <w:t xml:space="preserve"> (both n </w:t>
      </w:r>
      <w:r>
        <w:rPr>
          <w:rFonts w:ascii="Calibri" w:eastAsia="Calibri" w:hAnsi="Calibri" w:cs="Calibri"/>
        </w:rPr>
        <w:t></w:t>
      </w:r>
      <w:r>
        <w:t xml:space="preserve">); cf </w:t>
      </w:r>
      <w:r>
        <w:rPr>
          <w:i/>
        </w:rPr>
        <w:t>idem</w:t>
      </w:r>
      <w:r>
        <w:t xml:space="preserve">, ‘Funktionale Methode und Systemtheorie’ (n </w:t>
      </w:r>
      <w:r>
        <w:rPr>
          <w:rFonts w:ascii="Calibri" w:eastAsia="Calibri" w:hAnsi="Calibri" w:cs="Calibri"/>
        </w:rPr>
        <w:t></w:t>
      </w:r>
      <w:r>
        <w:t xml:space="preserve">), </w:t>
      </w:r>
      <w:r>
        <w:rPr>
          <w:rFonts w:ascii="Calibri" w:eastAsia="Calibri" w:hAnsi="Calibri" w:cs="Calibri"/>
        </w:rPr>
        <w:t> ff</w:t>
      </w:r>
      <w:r>
        <w:t xml:space="preserve">; </w:t>
      </w:r>
      <w:r>
        <w:rPr>
          <w:i/>
        </w:rPr>
        <w:t>idem, Die Gesellschaft der Gesellschaft</w:t>
      </w:r>
      <w:r>
        <w:t xml:space="preserve"> (vol II, </w:t>
      </w:r>
      <w:r>
        <w:rPr>
          <w:rFonts w:ascii="Calibri" w:eastAsia="Calibri" w:hAnsi="Calibri" w:cs="Calibri"/>
        </w:rPr>
        <w:t></w:t>
      </w:r>
      <w:r>
        <w:t xml:space="preserve">), </w:t>
      </w:r>
      <w:r>
        <w:rPr>
          <w:rFonts w:ascii="Calibri" w:eastAsia="Calibri" w:hAnsi="Calibri" w:cs="Calibri"/>
        </w:rPr>
        <w:t xml:space="preserve"> </w:t>
      </w:r>
      <w:r>
        <w:t>f.</w:t>
      </w:r>
    </w:p>
  </w:footnote>
  <w:footnote w:id="79">
    <w:p w:rsidR="007479CF" w:rsidRDefault="00CD28B5">
      <w:pPr>
        <w:pStyle w:val="footnotedescription"/>
        <w:spacing w:after="1" w:line="259" w:lineRule="auto"/>
        <w:ind w:left="175" w:firstLine="0"/>
        <w:jc w:val="left"/>
      </w:pPr>
      <w:r>
        <w:rPr>
          <w:rStyle w:val="footnotemark"/>
        </w:rPr>
        <w:footnoteRef/>
      </w:r>
      <w:r>
        <w:t xml:space="preserve"> See eg Luhmann (n </w:t>
      </w:r>
      <w:r>
        <w:rPr>
          <w:rFonts w:ascii="Calibri" w:eastAsia="Calibri" w:hAnsi="Calibri" w:cs="Calibri"/>
        </w:rPr>
        <w:t></w:t>
      </w:r>
      <w:r>
        <w:t xml:space="preserve">), </w:t>
      </w:r>
      <w:r>
        <w:rPr>
          <w:rFonts w:ascii="Calibri" w:eastAsia="Calibri" w:hAnsi="Calibri" w:cs="Calibri"/>
        </w:rPr>
        <w:t xml:space="preserve"> </w:t>
      </w:r>
      <w:r>
        <w:t>f.</w:t>
      </w:r>
    </w:p>
  </w:footnote>
  <w:footnote w:id="80">
    <w:p w:rsidR="007479CF" w:rsidRDefault="00CD28B5">
      <w:pPr>
        <w:pStyle w:val="footnotedescription"/>
        <w:spacing w:line="261" w:lineRule="auto"/>
      </w:pPr>
      <w:r>
        <w:rPr>
          <w:rStyle w:val="footnotemark"/>
        </w:rPr>
        <w:footnoteRef/>
      </w:r>
      <w:r>
        <w:t xml:space="preserve"> Luhmann, ‘Funktionale Meth</w:t>
      </w:r>
      <w:r>
        <w:t xml:space="preserve">ode und systemtheorie’ (n </w:t>
      </w:r>
      <w:r>
        <w:rPr>
          <w:rFonts w:ascii="Calibri" w:eastAsia="Calibri" w:hAnsi="Calibri" w:cs="Calibri"/>
        </w:rPr>
        <w:t></w:t>
      </w:r>
      <w:r>
        <w:t xml:space="preserve">), </w:t>
      </w:r>
      <w:r>
        <w:rPr>
          <w:rFonts w:ascii="Calibri" w:eastAsia="Calibri" w:hAnsi="Calibri" w:cs="Calibri"/>
        </w:rPr>
        <w:t></w:t>
      </w:r>
      <w:r>
        <w:t xml:space="preserve"> n </w:t>
      </w:r>
      <w:r>
        <w:rPr>
          <w:rFonts w:ascii="Calibri" w:eastAsia="Calibri" w:hAnsi="Calibri" w:cs="Calibri"/>
        </w:rPr>
        <w:t></w:t>
      </w:r>
      <w:r>
        <w:t xml:space="preserve">; see also </w:t>
      </w:r>
      <w:r>
        <w:rPr>
          <w:i/>
        </w:rPr>
        <w:t>idem, Das Recht der Gesellschaft</w:t>
      </w:r>
      <w:r>
        <w:t xml:space="preserve"> (</w:t>
      </w:r>
      <w:r>
        <w:rPr>
          <w:rFonts w:ascii="Calibri" w:eastAsia="Calibri" w:hAnsi="Calibri" w:cs="Calibri"/>
        </w:rPr>
        <w:t></w:t>
      </w:r>
      <w:r>
        <w:t xml:space="preserve">), </w:t>
      </w:r>
      <w:r>
        <w:rPr>
          <w:rFonts w:ascii="Calibri" w:eastAsia="Calibri" w:hAnsi="Calibri" w:cs="Calibri"/>
        </w:rPr>
        <w:t xml:space="preserve"> </w:t>
      </w:r>
      <w:r>
        <w:t xml:space="preserve">f, </w:t>
      </w:r>
      <w:r>
        <w:rPr>
          <w:rFonts w:ascii="Calibri" w:eastAsia="Calibri" w:hAnsi="Calibri" w:cs="Calibri"/>
        </w:rPr>
        <w:t xml:space="preserve"> </w:t>
      </w:r>
      <w:r>
        <w:t xml:space="preserve">f; English translation under the title of </w:t>
      </w:r>
      <w:r>
        <w:rPr>
          <w:i/>
        </w:rPr>
        <w:t>Law as a Social System</w:t>
      </w:r>
      <w:r>
        <w:t xml:space="preserve"> by Klaus A. Ziegert (</w:t>
      </w:r>
      <w:r>
        <w:rPr>
          <w:rFonts w:ascii="Calibri" w:eastAsia="Calibri" w:hAnsi="Calibri" w:cs="Calibri"/>
        </w:rPr>
        <w:t></w:t>
      </w:r>
      <w:r>
        <w:t xml:space="preserve">), </w:t>
      </w:r>
      <w:r>
        <w:rPr>
          <w:rFonts w:ascii="Calibri" w:eastAsia="Calibri" w:hAnsi="Calibri" w:cs="Calibri"/>
        </w:rPr>
        <w:t xml:space="preserve"> </w:t>
      </w:r>
      <w:r>
        <w:t xml:space="preserve">f, </w:t>
      </w:r>
      <w:r>
        <w:rPr>
          <w:rFonts w:ascii="Calibri" w:eastAsia="Calibri" w:hAnsi="Calibri" w:cs="Calibri"/>
        </w:rPr>
        <w:t></w:t>
      </w:r>
      <w:r>
        <w:t>.</w:t>
      </w:r>
    </w:p>
  </w:footnote>
  <w:footnote w:id="81">
    <w:p w:rsidR="007479CF" w:rsidRDefault="00CD28B5">
      <w:pPr>
        <w:pStyle w:val="footnotedescription"/>
        <w:spacing w:line="244" w:lineRule="auto"/>
        <w:ind w:right="6"/>
      </w:pPr>
      <w:r>
        <w:rPr>
          <w:rStyle w:val="footnotemark"/>
        </w:rPr>
        <w:footnoteRef/>
      </w:r>
      <w:r>
        <w:t xml:space="preserve"> </w:t>
      </w:r>
      <w:r>
        <w:t>A notable exception is Volkmar Gessner, ‘Soziologische Überlegungen zu einer Theorie der angewandten Rechtsvergleichung’,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w:t>
      </w:r>
      <w:r>
        <w:rPr>
          <w:rFonts w:ascii="Calibri" w:eastAsia="Calibri" w:hAnsi="Calibri" w:cs="Calibri"/>
        </w:rPr>
        <w:t></w:t>
      </w:r>
      <w:r>
        <w:t xml:space="preserve">, especially at </w:t>
      </w:r>
      <w:r>
        <w:rPr>
          <w:rFonts w:ascii="Calibri" w:eastAsia="Calibri" w:hAnsi="Calibri" w:cs="Calibri"/>
        </w:rPr>
        <w:t> ff</w:t>
      </w:r>
      <w:r>
        <w:t xml:space="preserve">; reprinted in Ulrich Drobnig and Manfred Rehbinder (eds), </w:t>
      </w:r>
      <w:r>
        <w:rPr>
          <w:i/>
        </w:rPr>
        <w:t>Rechtssoziologie und Rechtsve</w:t>
      </w:r>
      <w:r>
        <w:rPr>
          <w:i/>
        </w:rPr>
        <w:t>rgleichung</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82">
    <w:p w:rsidR="007479CF" w:rsidRDefault="00CD28B5">
      <w:pPr>
        <w:pStyle w:val="footnotedescription"/>
        <w:spacing w:line="244" w:lineRule="auto"/>
      </w:pPr>
      <w:r>
        <w:rPr>
          <w:rStyle w:val="footnotemark"/>
        </w:rPr>
        <w:footnoteRef/>
      </w:r>
      <w:r>
        <w:t xml:space="preserve"> On systems theory and autopoiesis in comparative law, see eg Lynn M. LoPucki and George G. Triantis, ‘A Systems Approach to Comparing U.S. and Canadian Reorganization of Financially Distressed Companies’, (</w:t>
      </w:r>
      <w:r>
        <w:rPr>
          <w:rFonts w:ascii="Calibri" w:eastAsia="Calibri" w:hAnsi="Calibri" w:cs="Calibri"/>
        </w:rPr>
        <w:t></w:t>
      </w:r>
      <w:r>
        <w:t xml:space="preserve">) </w:t>
      </w:r>
      <w:r>
        <w:rPr>
          <w:i/>
        </w:rPr>
        <w:t>Harvard Interna</w:t>
      </w:r>
      <w:r>
        <w:rPr>
          <w:i/>
        </w:rPr>
        <w:t>tional LJ</w:t>
      </w:r>
      <w:r>
        <w:t xml:space="preserve"> </w:t>
      </w:r>
      <w:r>
        <w:rPr>
          <w:rFonts w:ascii="Calibri" w:eastAsia="Calibri" w:hAnsi="Calibri" w:cs="Calibri"/>
        </w:rPr>
        <w:t></w:t>
      </w:r>
      <w:r>
        <w:t xml:space="preserve">, </w:t>
      </w:r>
      <w:r>
        <w:rPr>
          <w:rFonts w:ascii="Calibri" w:eastAsia="Calibri" w:hAnsi="Calibri" w:cs="Calibri"/>
        </w:rPr>
        <w:t> ff</w:t>
      </w:r>
      <w:r>
        <w:t>; Gunther Teubner, ‘Legal Irritants: Good Faith in British Law or How Unifying the Law Ends Up in New Divergences’, (</w:t>
      </w:r>
      <w:r>
        <w:rPr>
          <w:rFonts w:ascii="Calibri" w:eastAsia="Calibri" w:hAnsi="Calibri" w:cs="Calibri"/>
        </w:rPr>
        <w:t></w:t>
      </w:r>
      <w:r>
        <w:t xml:space="preserve">) </w:t>
      </w:r>
      <w:r>
        <w:rPr>
          <w:rFonts w:ascii="Calibri" w:eastAsia="Calibri" w:hAnsi="Calibri" w:cs="Calibri"/>
        </w:rPr>
        <w:t></w:t>
      </w:r>
      <w:r>
        <w:t xml:space="preserve"> </w:t>
      </w:r>
      <w:r>
        <w:rPr>
          <w:i/>
        </w:rPr>
        <w:t>Modern LR</w:t>
      </w:r>
      <w:r>
        <w:t xml:space="preserve"> </w:t>
      </w:r>
      <w:r>
        <w:rPr>
          <w:rFonts w:ascii="Calibri" w:eastAsia="Calibri" w:hAnsi="Calibri" w:cs="Calibri"/>
        </w:rPr>
        <w:t> ff</w:t>
      </w:r>
      <w:r>
        <w:t>; Mark van Hoecke, ‘Legal Orders between Autonomy and Intertwinement’, in Karl-Heinz Ladeur (e</w:t>
      </w:r>
      <w:r>
        <w:t xml:space="preserve">d), </w:t>
      </w:r>
      <w:r>
        <w:rPr>
          <w:i/>
        </w:rPr>
        <w:t>Public Governance in the Age of Globalization</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Catherine Valcke, ‘Comparative Law as Comparative Jurisprudence: The Comparability of Legal Systems’,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w:t>
      </w:r>
      <w:r>
        <w:rPr>
          <w:rFonts w:ascii="Calibri" w:eastAsia="Calibri" w:hAnsi="Calibri" w:cs="Calibri"/>
        </w:rPr>
        <w:t></w:t>
      </w:r>
      <w:r>
        <w:t>.</w:t>
      </w:r>
    </w:p>
  </w:footnote>
  <w:footnote w:id="83">
    <w:p w:rsidR="007479CF" w:rsidRDefault="00CD28B5">
      <w:pPr>
        <w:pStyle w:val="footnotedescription"/>
        <w:spacing w:line="257" w:lineRule="auto"/>
      </w:pPr>
      <w:r>
        <w:rPr>
          <w:rStyle w:val="footnotemark"/>
        </w:rPr>
        <w:footnoteRef/>
      </w:r>
      <w:r>
        <w:t xml:space="preserve"> See also Dimitra Kokkini-Iatridou, ‘Some Methodological Aspects</w:t>
      </w:r>
      <w:r>
        <w:t xml:space="preserve"> of Comparative Law. The Third Part of a (Pre-)paradigm’, (</w:t>
      </w:r>
      <w:r>
        <w:rPr>
          <w:rFonts w:ascii="Calibri" w:eastAsia="Calibri" w:hAnsi="Calibri" w:cs="Calibri"/>
        </w:rPr>
        <w:t></w:t>
      </w:r>
      <w:r>
        <w:t xml:space="preserve">) </w:t>
      </w:r>
      <w:r>
        <w:rPr>
          <w:rFonts w:ascii="Calibri" w:eastAsia="Calibri" w:hAnsi="Calibri" w:cs="Calibri"/>
        </w:rPr>
        <w:t></w:t>
      </w:r>
      <w:r>
        <w:t xml:space="preserve"> </w:t>
      </w:r>
      <w:r>
        <w:rPr>
          <w:i/>
        </w:rPr>
        <w:t>Netherlands International LR</w:t>
      </w:r>
      <w:r>
        <w:t xml:space="preserve"> </w:t>
      </w:r>
      <w:r>
        <w:rPr>
          <w:rFonts w:ascii="Calibri" w:eastAsia="Calibri" w:hAnsi="Calibri" w:cs="Calibri"/>
        </w:rPr>
        <w:t></w:t>
      </w:r>
      <w:r>
        <w:t xml:space="preserve">, </w:t>
      </w:r>
      <w:r>
        <w:rPr>
          <w:rFonts w:ascii="Calibri" w:eastAsia="Calibri" w:hAnsi="Calibri" w:cs="Calibri"/>
        </w:rPr>
        <w:t> ff</w:t>
      </w:r>
      <w:r>
        <w:t>.</w:t>
      </w:r>
    </w:p>
  </w:footnote>
  <w:footnote w:id="84">
    <w:p w:rsidR="007479CF" w:rsidRDefault="00CD28B5">
      <w:pPr>
        <w:pStyle w:val="footnotedescription"/>
        <w:spacing w:line="259" w:lineRule="auto"/>
        <w:ind w:left="175" w:firstLine="0"/>
        <w:jc w:val="left"/>
      </w:pPr>
      <w:r>
        <w:rPr>
          <w:rStyle w:val="footnotemark"/>
        </w:rPr>
        <w:footnoteRef/>
      </w:r>
      <w:r>
        <w:t xml:space="preserve"> Zweigert and Kötz (n </w:t>
      </w:r>
      <w:r>
        <w:rPr>
          <w:rFonts w:ascii="Calibri" w:eastAsia="Calibri" w:hAnsi="Calibri" w:cs="Calibri"/>
        </w:rPr>
        <w:t></w:t>
      </w:r>
      <w:r>
        <w:t xml:space="preserve">), </w:t>
      </w:r>
      <w:r>
        <w:rPr>
          <w:rFonts w:ascii="Calibri" w:eastAsia="Calibri" w:hAnsi="Calibri" w:cs="Calibri"/>
        </w:rPr>
        <w:t></w:t>
      </w:r>
      <w:r>
        <w:t xml:space="preserve"> (referring to Lambert).</w:t>
      </w:r>
    </w:p>
  </w:footnote>
  <w:footnote w:id="85">
    <w:p w:rsidR="007479CF" w:rsidRDefault="00CD28B5">
      <w:pPr>
        <w:pStyle w:val="footnotedescription"/>
        <w:spacing w:line="258" w:lineRule="auto"/>
      </w:pPr>
      <w:r>
        <w:rPr>
          <w:rStyle w:val="footnotemark"/>
        </w:rPr>
        <w:footnoteRef/>
      </w:r>
      <w:r>
        <w:t xml:space="preserve"> Zweigert and Kötz (n </w:t>
      </w:r>
      <w:r>
        <w:rPr>
          <w:rFonts w:ascii="Calibri" w:eastAsia="Calibri" w:hAnsi="Calibri" w:cs="Calibri"/>
        </w:rPr>
        <w:t></w:t>
      </w:r>
      <w:r>
        <w:t xml:space="preserve">), </w:t>
      </w:r>
      <w:r>
        <w:rPr>
          <w:rFonts w:ascii="Calibri" w:eastAsia="Calibri" w:hAnsi="Calibri" w:cs="Calibri"/>
        </w:rPr>
        <w:t></w:t>
      </w:r>
      <w:r>
        <w:t>: ‘</w:t>
      </w:r>
      <w:r>
        <w:t>. . . if the comparatist is to make sense of the rules and the problems they are intended to solve he must often investigate their history’.</w:t>
      </w:r>
    </w:p>
  </w:footnote>
  <w:footnote w:id="86">
    <w:p w:rsidR="007479CF" w:rsidRDefault="00CD28B5">
      <w:pPr>
        <w:pStyle w:val="footnotedescription"/>
        <w:spacing w:line="259" w:lineRule="auto"/>
        <w:ind w:left="175" w:firstLine="0"/>
        <w:jc w:val="left"/>
      </w:pPr>
      <w:r>
        <w:rPr>
          <w:rStyle w:val="footnotemark"/>
        </w:rPr>
        <w:footnoteRef/>
      </w:r>
      <w:r>
        <w:t xml:space="preserve"> Zweigert and Kötz (n </w:t>
      </w:r>
      <w:r>
        <w:rPr>
          <w:rFonts w:ascii="Calibri" w:eastAsia="Calibri" w:hAnsi="Calibri" w:cs="Calibri"/>
        </w:rPr>
        <w:t></w:t>
      </w:r>
      <w:r>
        <w:t xml:space="preserve">), </w:t>
      </w:r>
      <w:r>
        <w:rPr>
          <w:rFonts w:ascii="Calibri" w:eastAsia="Calibri" w:hAnsi="Calibri" w:cs="Calibri"/>
        </w:rPr>
        <w:t></w:t>
      </w:r>
      <w:r>
        <w:t xml:space="preserve">; see also </w:t>
      </w:r>
      <w:r>
        <w:rPr>
          <w:rFonts w:ascii="Calibri" w:eastAsia="Calibri" w:hAnsi="Calibri" w:cs="Calibri"/>
        </w:rPr>
        <w:t></w:t>
      </w:r>
      <w:r>
        <w:t xml:space="preserve"> (‘feeling’), </w:t>
      </w:r>
      <w:r>
        <w:rPr>
          <w:rFonts w:ascii="Calibri" w:eastAsia="Calibri" w:hAnsi="Calibri" w:cs="Calibri"/>
        </w:rPr>
        <w:t></w:t>
      </w:r>
      <w:r>
        <w:t xml:space="preserve"> (‘imagination’).</w:t>
      </w:r>
    </w:p>
  </w:footnote>
  <w:footnote w:id="87">
    <w:p w:rsidR="007479CF" w:rsidRDefault="00CD28B5">
      <w:pPr>
        <w:pStyle w:val="footnotedescription"/>
        <w:spacing w:line="268" w:lineRule="auto"/>
        <w:ind w:right="2"/>
      </w:pPr>
      <w:r>
        <w:rPr>
          <w:rStyle w:val="footnotemark"/>
        </w:rPr>
        <w:footnoteRef/>
      </w:r>
      <w:r>
        <w:t xml:space="preserve"> But see, for the possible need of irr</w:t>
      </w:r>
      <w:r>
        <w:t xml:space="preserve">ationality for comparison, Luhmann, </w:t>
      </w:r>
      <w:r>
        <w:rPr>
          <w:i/>
        </w:rPr>
        <w:t>Soziale Systeme</w:t>
      </w:r>
      <w:r>
        <w:t xml:space="preserve">, </w:t>
      </w:r>
      <w:r>
        <w:rPr>
          <w:rFonts w:ascii="Calibri" w:eastAsia="Calibri" w:hAnsi="Calibri" w:cs="Calibri"/>
        </w:rPr>
        <w:t xml:space="preserve"> </w:t>
      </w:r>
      <w:r>
        <w:t xml:space="preserve">f </w:t>
      </w:r>
      <w:r>
        <w:rPr>
          <w:rFonts w:ascii="Segoe UI Symbol" w:eastAsia="Segoe UI Symbol" w:hAnsi="Segoe UI Symbol" w:cs="Segoe UI Symbol"/>
        </w:rPr>
        <w:t>=</w:t>
      </w:r>
      <w:r>
        <w:t xml:space="preserve"> </w:t>
      </w:r>
      <w:r>
        <w:rPr>
          <w:i/>
        </w:rPr>
        <w:t>Social Systems</w:t>
      </w:r>
      <w:r>
        <w:t xml:space="preserve">, </w:t>
      </w:r>
      <w:r>
        <w:rPr>
          <w:rFonts w:ascii="Calibri" w:eastAsia="Calibri" w:hAnsi="Calibri" w:cs="Calibri"/>
        </w:rPr>
        <w:t xml:space="preserve"> </w:t>
      </w:r>
      <w:r>
        <w:t xml:space="preserve">f (both n </w:t>
      </w:r>
      <w:r>
        <w:rPr>
          <w:rFonts w:ascii="Calibri" w:eastAsia="Calibri" w:hAnsi="Calibri" w:cs="Calibri"/>
        </w:rPr>
        <w:t></w:t>
      </w:r>
      <w:r>
        <w:t xml:space="preserve">) and his cite to Alfred Baeumler, </w:t>
      </w:r>
      <w:r>
        <w:rPr>
          <w:i/>
        </w:rPr>
        <w:t xml:space="preserve">Das Irrationalitätsproblem in der Ästhetik und Logik des </w:t>
      </w:r>
      <w:r>
        <w:rPr>
          <w:rFonts w:ascii="Calibri" w:eastAsia="Calibri" w:hAnsi="Calibri" w:cs="Calibri"/>
          <w:i/>
        </w:rPr>
        <w:t></w:t>
      </w:r>
      <w:r>
        <w:rPr>
          <w:i/>
        </w:rPr>
        <w:t>. Jahrhunderts bis zur Kritik der Urteilskraft</w:t>
      </w:r>
      <w:r>
        <w:t xml:space="preserve"> (</w:t>
      </w:r>
      <w:r>
        <w:rPr>
          <w:rFonts w:ascii="Calibri" w:eastAsia="Calibri" w:hAnsi="Calibri" w:cs="Calibri"/>
        </w:rPr>
        <w:t></w:t>
      </w:r>
      <w:r>
        <w:t xml:space="preserve">, reprinted </w:t>
      </w:r>
      <w:r>
        <w:rPr>
          <w:rFonts w:ascii="Calibri" w:eastAsia="Calibri" w:hAnsi="Calibri" w:cs="Calibri"/>
        </w:rPr>
        <w:t></w:t>
      </w:r>
      <w:r>
        <w:t>),</w:t>
      </w:r>
      <w:r>
        <w:t xml:space="preserve"> </w:t>
      </w:r>
      <w:r>
        <w:rPr>
          <w:rFonts w:ascii="Calibri" w:eastAsia="Calibri" w:hAnsi="Calibri" w:cs="Calibri"/>
        </w:rPr>
        <w:t> ff</w:t>
      </w:r>
      <w:r>
        <w:t>.</w:t>
      </w:r>
    </w:p>
  </w:footnote>
  <w:footnote w:id="88">
    <w:p w:rsidR="007479CF" w:rsidRDefault="00CD28B5">
      <w:pPr>
        <w:pStyle w:val="footnotedescription"/>
        <w:spacing w:line="245" w:lineRule="auto"/>
        <w:ind w:right="2"/>
      </w:pPr>
      <w:r>
        <w:rPr>
          <w:rStyle w:val="footnotemark"/>
        </w:rPr>
        <w:footnoteRef/>
      </w:r>
      <w:r>
        <w:t xml:space="preserve"> Niklas Luhmann, ‘Funktionale Methode und juristische Entscheidung’, (</w:t>
      </w:r>
      <w:r>
        <w:rPr>
          <w:rFonts w:ascii="Calibri" w:eastAsia="Calibri" w:hAnsi="Calibri" w:cs="Calibri"/>
        </w:rPr>
        <w:t></w:t>
      </w:r>
      <w:r>
        <w:t xml:space="preserve">) </w:t>
      </w:r>
      <w:r>
        <w:rPr>
          <w:rFonts w:ascii="Calibri" w:eastAsia="Calibri" w:hAnsi="Calibri" w:cs="Calibri"/>
        </w:rPr>
        <w:t></w:t>
      </w:r>
      <w:r>
        <w:t xml:space="preserve"> </w:t>
      </w:r>
      <w:r>
        <w:rPr>
          <w:i/>
        </w:rPr>
        <w:t>Archiv für ö</w:t>
      </w:r>
      <w:r>
        <w:rPr>
          <w:rFonts w:ascii="Calibri" w:eastAsia="Calibri" w:hAnsi="Calibri" w:cs="Calibri"/>
          <w:i/>
        </w:rPr>
        <w:t>ff</w:t>
      </w:r>
      <w:r>
        <w:rPr>
          <w:i/>
        </w:rPr>
        <w:t>entliches Recht</w:t>
      </w:r>
      <w:r>
        <w:t xml:space="preserve"> </w:t>
      </w:r>
      <w:r>
        <w:rPr>
          <w:rFonts w:ascii="Calibri" w:eastAsia="Calibri" w:hAnsi="Calibri" w:cs="Calibri"/>
        </w:rPr>
        <w:t></w:t>
      </w:r>
      <w:r>
        <w:t>–</w:t>
      </w:r>
      <w:r>
        <w:rPr>
          <w:rFonts w:ascii="Calibri" w:eastAsia="Calibri" w:hAnsi="Calibri" w:cs="Calibri"/>
        </w:rPr>
        <w:t></w:t>
      </w:r>
      <w:r>
        <w:t xml:space="preserve">; reprinted in </w:t>
      </w:r>
      <w:r>
        <w:rPr>
          <w:i/>
        </w:rPr>
        <w:t>idem, Ausdi</w:t>
      </w:r>
      <w:r>
        <w:rPr>
          <w:rFonts w:ascii="Calibri" w:eastAsia="Calibri" w:hAnsi="Calibri" w:cs="Calibri"/>
          <w:i/>
        </w:rPr>
        <w:t>ff</w:t>
      </w:r>
      <w:r>
        <w:rPr>
          <w:i/>
        </w:rPr>
        <w:t>erenzierung des Rechts</w:t>
      </w:r>
      <w:r>
        <w:t xml:space="preserve"> (paperback edn,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Hans – Joachim Bartels, </w:t>
      </w:r>
      <w:r>
        <w:rPr>
          <w:i/>
        </w:rPr>
        <w:t>Methode und Gegenstand intersystemarer Rechtsvergleichung</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cf also Jean Carbonnier, ‘L’apport du droit comparé à la sociologie juridique’, in </w:t>
      </w:r>
      <w:r>
        <w:rPr>
          <w:i/>
        </w:rPr>
        <w:t xml:space="preserve">Livre du Centenaire </w:t>
      </w:r>
      <w:r>
        <w:t xml:space="preserve">(n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Jerome Hall, </w:t>
      </w:r>
      <w:r>
        <w:rPr>
          <w:i/>
        </w:rPr>
        <w:t>Comparative Law and Social Theory</w:t>
      </w:r>
      <w:r>
        <w:t xml:space="preserve"> (</w:t>
      </w:r>
      <w:r>
        <w:rPr>
          <w:rFonts w:ascii="Calibri" w:eastAsia="Calibri" w:hAnsi="Calibri" w:cs="Calibri"/>
        </w:rPr>
        <w:t></w:t>
      </w:r>
      <w:r>
        <w:t xml:space="preserve">), </w:t>
      </w:r>
      <w:r>
        <w:rPr>
          <w:rFonts w:ascii="Calibri" w:eastAsia="Calibri" w:hAnsi="Calibri" w:cs="Calibri"/>
        </w:rPr>
        <w:t></w:t>
      </w:r>
      <w:r>
        <w:t xml:space="preserve">; Zweigert and Kötz (n </w:t>
      </w:r>
      <w:r>
        <w:rPr>
          <w:rFonts w:ascii="Calibri" w:eastAsia="Calibri" w:hAnsi="Calibri" w:cs="Calibri"/>
        </w:rPr>
        <w:t></w:t>
      </w:r>
      <w:r>
        <w:t xml:space="preserve">), </w:t>
      </w:r>
      <w:r>
        <w:rPr>
          <w:rFonts w:ascii="Calibri" w:eastAsia="Calibri" w:hAnsi="Calibri" w:cs="Calibri"/>
        </w:rPr>
        <w:t xml:space="preserve"> </w:t>
      </w:r>
      <w:r>
        <w:t>f N.A. Florijn, Leidraad Voor Zinvolle rechtsveigelijking (</w:t>
      </w:r>
      <w:r>
        <w:rPr>
          <w:rFonts w:ascii="Calibri" w:eastAsia="Calibri" w:hAnsi="Calibri" w:cs="Calibri"/>
        </w:rPr>
        <w:t></w:t>
      </w:r>
      <w:r>
        <w:t xml:space="preserve">), </w:t>
      </w:r>
      <w:r>
        <w:rPr>
          <w:rFonts w:ascii="Calibri" w:eastAsia="Calibri" w:hAnsi="Calibri" w:cs="Calibri"/>
        </w:rPr>
        <w:t></w:t>
      </w:r>
      <w:r>
        <w:t>.</w:t>
      </w:r>
    </w:p>
  </w:footnote>
  <w:footnote w:id="89">
    <w:p w:rsidR="007479CF" w:rsidRDefault="00CD28B5">
      <w:pPr>
        <w:pStyle w:val="footnotedescription"/>
        <w:spacing w:line="267" w:lineRule="auto"/>
        <w:ind w:right="6"/>
      </w:pPr>
      <w:r>
        <w:rPr>
          <w:rStyle w:val="footnotemark"/>
        </w:rPr>
        <w:footnoteRef/>
      </w:r>
      <w:r>
        <w:t xml:space="preserve"> Of course, lawmakers may learn about latent functions over time. Sunset clauses for legislation are a respons</w:t>
      </w:r>
      <w:r>
        <w:t>e to the problem: lawmakers make laws, then observe their latent functions and dysfunctions, and then react to this learning experience.</w:t>
      </w:r>
    </w:p>
  </w:footnote>
  <w:footnote w:id="90">
    <w:p w:rsidR="007479CF" w:rsidRDefault="00CD28B5">
      <w:pPr>
        <w:pStyle w:val="footnotedescription"/>
        <w:spacing w:line="247" w:lineRule="auto"/>
        <w:ind w:right="7"/>
      </w:pPr>
      <w:r>
        <w:rPr>
          <w:rStyle w:val="footnotemark"/>
        </w:rPr>
        <w:footnoteRef/>
      </w:r>
      <w:r>
        <w:t xml:space="preserve"> William M. Evan, Angelo Grisoli, and Renato Treves, ‘Socialogia del divitto e divitto comparato—Considerazione conclu</w:t>
      </w:r>
      <w:r>
        <w:t>sive’, (</w:t>
      </w:r>
      <w:r>
        <w:rPr>
          <w:rFonts w:ascii="Calibri" w:eastAsia="Calibri" w:hAnsi="Calibri" w:cs="Calibri"/>
        </w:rPr>
        <w:t></w:t>
      </w:r>
      <w:r>
        <w:t xml:space="preserve">) </w:t>
      </w:r>
      <w:r>
        <w:rPr>
          <w:i/>
        </w:rPr>
        <w:t>Quaderni di sociologia</w:t>
      </w:r>
      <w:r>
        <w:t xml:space="preserve"> </w:t>
      </w:r>
      <w:r>
        <w:rPr>
          <w:rFonts w:ascii="Calibri" w:eastAsia="Calibri" w:hAnsi="Calibri" w:cs="Calibri"/>
        </w:rPr>
        <w:t></w:t>
      </w:r>
      <w:r>
        <w:t xml:space="preserve">, </w:t>
      </w:r>
      <w:r>
        <w:rPr>
          <w:rFonts w:ascii="Calibri" w:eastAsia="Calibri" w:hAnsi="Calibri" w:cs="Calibri"/>
        </w:rPr>
        <w:t></w:t>
      </w:r>
      <w:r>
        <w:t xml:space="preserve"> (quote by Traves); German translation in Drobnig and Rehbinder (n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p>
  </w:footnote>
  <w:footnote w:id="91">
    <w:p w:rsidR="007479CF" w:rsidRDefault="00CD28B5">
      <w:pPr>
        <w:pStyle w:val="footnotedescription"/>
        <w:spacing w:after="3" w:line="249" w:lineRule="auto"/>
      </w:pPr>
      <w:r>
        <w:rPr>
          <w:rStyle w:val="footnotemark"/>
        </w:rPr>
        <w:footnoteRef/>
      </w:r>
      <w:r>
        <w:t xml:space="preserve"> See Ralf Michaels and Nils Jansen, ‘Die Auslegung und Fortbildung ausländischen Rechts’, (</w:t>
      </w:r>
      <w:r>
        <w:rPr>
          <w:rFonts w:ascii="Calibri" w:eastAsia="Calibri" w:hAnsi="Calibri" w:cs="Calibri"/>
        </w:rPr>
        <w:t></w:t>
      </w:r>
      <w:r>
        <w:t xml:space="preserve">) </w:t>
      </w:r>
      <w:r>
        <w:rPr>
          <w:rFonts w:ascii="Calibri" w:eastAsia="Calibri" w:hAnsi="Calibri" w:cs="Calibri"/>
        </w:rPr>
        <w:t></w:t>
      </w:r>
      <w:r>
        <w:t xml:space="preserve"> </w:t>
      </w:r>
      <w:r>
        <w:rPr>
          <w:i/>
        </w:rPr>
        <w:t>Zeitschrift für Zivilprozeß</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92">
    <w:p w:rsidR="007479CF" w:rsidRDefault="00CD28B5">
      <w:pPr>
        <w:pStyle w:val="footnotedescription"/>
        <w:spacing w:line="259" w:lineRule="auto"/>
        <w:ind w:left="175" w:firstLine="0"/>
        <w:jc w:val="left"/>
      </w:pPr>
      <w:r>
        <w:rPr>
          <w:rStyle w:val="footnotemark"/>
        </w:rPr>
        <w:footnoteRef/>
      </w:r>
      <w:r>
        <w:t xml:space="preserve"> Luhmann (n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cf Gessner,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 xml:space="preserve"> </w:t>
      </w:r>
      <w:r>
        <w:t>f.</w:t>
      </w:r>
    </w:p>
  </w:footnote>
  <w:footnote w:id="93">
    <w:p w:rsidR="007479CF" w:rsidRDefault="00CD28B5">
      <w:pPr>
        <w:pStyle w:val="footnotedescription"/>
        <w:spacing w:line="254" w:lineRule="auto"/>
      </w:pPr>
      <w:r>
        <w:rPr>
          <w:rStyle w:val="footnotemark"/>
        </w:rPr>
        <w:footnoteRef/>
      </w:r>
      <w:r>
        <w:t xml:space="preserve"> See Gunther Teubner (ed), </w:t>
      </w:r>
      <w:r>
        <w:rPr>
          <w:i/>
        </w:rPr>
        <w:t>Entscheidungsfolgen als Rechtsgründe: Folgenorientiertes Argumentieren in rechtsvergleichender Sicht</w:t>
      </w:r>
      <w:r>
        <w:t xml:space="preserve"> (</w:t>
      </w:r>
      <w:r>
        <w:rPr>
          <w:rFonts w:ascii="Calibri" w:eastAsia="Calibri" w:hAnsi="Calibri" w:cs="Calibri"/>
        </w:rPr>
        <w:t></w:t>
      </w:r>
      <w:r>
        <w:t>).</w:t>
      </w:r>
    </w:p>
  </w:footnote>
  <w:footnote w:id="94">
    <w:p w:rsidR="007479CF" w:rsidRDefault="00CD28B5">
      <w:pPr>
        <w:pStyle w:val="footnotedescription"/>
        <w:tabs>
          <w:tab w:val="center" w:pos="1418"/>
          <w:tab w:val="center" w:pos="3932"/>
        </w:tabs>
        <w:spacing w:line="259" w:lineRule="auto"/>
        <w:ind w:firstLine="0"/>
        <w:jc w:val="left"/>
      </w:pPr>
      <w:r>
        <w:rPr>
          <w:rStyle w:val="footnotemark"/>
        </w:rPr>
        <w:footnoteRef/>
      </w:r>
      <w:r>
        <w:t xml:space="preserve"> Lepaulle, </w:t>
      </w:r>
      <w:r>
        <w:rPr>
          <w:rFonts w:ascii="Calibri" w:eastAsia="Calibri" w:hAnsi="Calibri" w:cs="Calibri"/>
        </w:rPr>
        <w:t></w:t>
      </w:r>
      <w:r>
        <w:t xml:space="preserve"> </w:t>
      </w:r>
      <w:r>
        <w:rPr>
          <w:i/>
        </w:rPr>
        <w:t>Harvard LR</w:t>
      </w:r>
      <w:r>
        <w:t xml:space="preserve"> </w:t>
      </w:r>
      <w:r>
        <w:rPr>
          <w:rFonts w:ascii="Calibri" w:eastAsia="Calibri" w:hAnsi="Calibri" w:cs="Calibri"/>
        </w:rPr>
        <w:t></w:t>
      </w:r>
      <w:r>
        <w:t>–</w:t>
      </w:r>
      <w:r>
        <w:rPr>
          <w:rFonts w:ascii="Calibri" w:eastAsia="Calibri" w:hAnsi="Calibri" w:cs="Calibri"/>
        </w:rPr>
        <w:t></w:t>
      </w:r>
      <w:r>
        <w:t>.</w:t>
      </w:r>
      <w:r>
        <w:tab/>
      </w:r>
      <w:r>
        <w:rPr>
          <w:b/>
          <w:vertAlign w:val="superscript"/>
        </w:rPr>
        <w:t xml:space="preserve">118 </w:t>
      </w:r>
      <w:r>
        <w:t xml:space="preserve">Evan </w:t>
      </w:r>
      <w:r>
        <w:rPr>
          <w:i/>
        </w:rPr>
        <w:t>et al</w:t>
      </w:r>
      <w:r>
        <w:t xml:space="preserve"> (n </w:t>
      </w:r>
      <w:r>
        <w:rPr>
          <w:rFonts w:ascii="Calibri" w:eastAsia="Calibri" w:hAnsi="Calibri" w:cs="Calibri"/>
        </w:rPr>
        <w:t></w:t>
      </w:r>
      <w:r>
        <w:t>).</w:t>
      </w:r>
    </w:p>
  </w:footnote>
  <w:footnote w:id="95">
    <w:p w:rsidR="007479CF" w:rsidRDefault="00CD28B5">
      <w:pPr>
        <w:pStyle w:val="footnotedescription"/>
        <w:spacing w:line="244" w:lineRule="auto"/>
        <w:ind w:right="2"/>
      </w:pPr>
      <w:r>
        <w:rPr>
          <w:rStyle w:val="footnotemark"/>
        </w:rPr>
        <w:footnoteRef/>
      </w:r>
      <w:r>
        <w:t xml:space="preserve"> Keebet von Benda-Beckmann, ‘Einige Bemerkungen über die Beziehung zwischen Rechtssoziologie und Rechtsvergleichung’, (</w:t>
      </w:r>
      <w:r>
        <w:rPr>
          <w:rFonts w:ascii="Calibri" w:eastAsia="Calibri" w:hAnsi="Calibri" w:cs="Calibri"/>
        </w:rPr>
        <w:t></w:t>
      </w:r>
      <w:r>
        <w:t xml:space="preserve">) </w:t>
      </w:r>
      <w:r>
        <w:rPr>
          <w:rFonts w:ascii="Calibri" w:eastAsia="Calibri" w:hAnsi="Calibri" w:cs="Calibri"/>
        </w:rPr>
        <w:t></w:t>
      </w:r>
      <w:r>
        <w:t xml:space="preserve"> </w:t>
      </w:r>
      <w:r>
        <w:rPr>
          <w:i/>
        </w:rPr>
        <w:t>Zeitschrift für vergleichende Rechtswissenschaft</w:t>
      </w:r>
      <w:r>
        <w:t xml:space="preserve"> </w:t>
      </w:r>
      <w:r>
        <w:rPr>
          <w:rFonts w:ascii="Calibri" w:eastAsia="Calibri" w:hAnsi="Calibri" w:cs="Calibri"/>
        </w:rPr>
        <w:t></w:t>
      </w:r>
      <w:r>
        <w:t>–</w:t>
      </w:r>
      <w:r>
        <w:rPr>
          <w:rFonts w:ascii="Calibri" w:eastAsia="Calibri" w:hAnsi="Calibri" w:cs="Calibri"/>
        </w:rPr>
        <w:t></w:t>
      </w:r>
      <w:r>
        <w:t xml:space="preserve">; Gessner, </w:t>
      </w:r>
      <w:r>
        <w:rPr>
          <w:rFonts w:ascii="Calibri" w:eastAsia="Calibri" w:hAnsi="Calibri" w:cs="Calibri"/>
        </w:rPr>
        <w:t></w:t>
      </w:r>
      <w:r>
        <w:t xml:space="preserve"> </w:t>
      </w:r>
      <w:r>
        <w:rPr>
          <w:i/>
        </w:rPr>
        <w:t>RabelsZ</w:t>
      </w:r>
      <w:r>
        <w:t xml:space="preserve"> </w:t>
      </w:r>
      <w:r>
        <w:rPr>
          <w:rFonts w:ascii="Calibri" w:eastAsia="Calibri" w:hAnsi="Calibri" w:cs="Calibri"/>
        </w:rPr>
        <w:t></w:t>
      </w:r>
      <w:r>
        <w:t xml:space="preserve">, </w:t>
      </w:r>
      <w:r>
        <w:rPr>
          <w:rFonts w:ascii="Calibri" w:eastAsia="Calibri" w:hAnsi="Calibri" w:cs="Calibri"/>
        </w:rPr>
        <w:t> ff</w:t>
      </w:r>
      <w:r>
        <w:t>.</w:t>
      </w:r>
    </w:p>
  </w:footnote>
  <w:footnote w:id="96">
    <w:p w:rsidR="007479CF" w:rsidRDefault="00CD28B5">
      <w:pPr>
        <w:pStyle w:val="footnotedescription"/>
        <w:spacing w:line="264" w:lineRule="auto"/>
        <w:ind w:right="6"/>
      </w:pPr>
      <w:r>
        <w:rPr>
          <w:rStyle w:val="footnotemark"/>
        </w:rPr>
        <w:footnoteRef/>
      </w:r>
      <w:r>
        <w:t xml:space="preserve"> Michael Martinek, ‘Wi</w:t>
      </w:r>
      <w:r>
        <w:t xml:space="preserve">ssenschaftsgeschichte der Rechtsvergleichung und des Internationalen Privatrechts in der Bundesrepublik Deutschland’, in Dieter Simon (ed), </w:t>
      </w:r>
      <w:r>
        <w:rPr>
          <w:i/>
        </w:rPr>
        <w:t>Rechtswissenschaft in der Bonner Republik</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xml:space="preserve"> </w:t>
      </w:r>
      <w:r>
        <w:t>f.</w:t>
      </w:r>
    </w:p>
  </w:footnote>
  <w:footnote w:id="97">
    <w:p w:rsidR="007479CF" w:rsidRDefault="00CD28B5">
      <w:pPr>
        <w:pStyle w:val="footnotedescription"/>
        <w:spacing w:line="245" w:lineRule="auto"/>
      </w:pPr>
      <w:r>
        <w:rPr>
          <w:rStyle w:val="footnotemark"/>
        </w:rPr>
        <w:footnoteRef/>
      </w:r>
      <w:r>
        <w:t xml:space="preserve"> Rabel, </w:t>
      </w:r>
      <w:r>
        <w:rPr>
          <w:rFonts w:ascii="Calibri" w:eastAsia="Calibri" w:hAnsi="Calibri" w:cs="Calibri"/>
        </w:rPr>
        <w:t></w:t>
      </w:r>
      <w:r>
        <w:t xml:space="preserve"> </w:t>
      </w:r>
      <w:r>
        <w:rPr>
          <w:i/>
        </w:rPr>
        <w:t>Rheinische Zeitschrift für Zivil- und Proz</w:t>
      </w:r>
      <w:r>
        <w:rPr>
          <w:i/>
        </w:rPr>
        <w:t>eßrecht</w:t>
      </w:r>
      <w:r>
        <w:t xml:space="preserve"> </w:t>
      </w:r>
      <w:r>
        <w:rPr>
          <w:rFonts w:ascii="Calibri" w:eastAsia="Calibri" w:hAnsi="Calibri" w:cs="Calibri"/>
        </w:rPr>
        <w:t></w:t>
      </w:r>
      <w:r>
        <w:t xml:space="preserve">; also in Zweigert and Puttfarken (n </w:t>
      </w:r>
      <w:r>
        <w:rPr>
          <w:rFonts w:ascii="Calibri" w:eastAsia="Calibri" w:hAnsi="Calibri" w:cs="Calibri"/>
        </w:rPr>
        <w:t></w:t>
      </w:r>
      <w:r>
        <w:t xml:space="preserve">), </w:t>
      </w:r>
      <w:r>
        <w:rPr>
          <w:rFonts w:ascii="Calibri" w:eastAsia="Calibri" w:hAnsi="Calibri" w:cs="Calibri"/>
        </w:rPr>
        <w:t></w:t>
      </w:r>
      <w:r>
        <w:t>.</w:t>
      </w:r>
    </w:p>
  </w:footnote>
  <w:footnote w:id="98">
    <w:p w:rsidR="007479CF" w:rsidRDefault="00CD28B5">
      <w:pPr>
        <w:pStyle w:val="footnotedescription"/>
        <w:spacing w:after="5" w:line="244" w:lineRule="auto"/>
        <w:ind w:right="1"/>
      </w:pPr>
      <w:r>
        <w:rPr>
          <w:rStyle w:val="footnotemark"/>
        </w:rPr>
        <w:footnoteRef/>
      </w:r>
      <w:r>
        <w:t xml:space="preserve"> Max Rheinstein, ‘In Memory of Ernst Rabel’,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 xml:space="preserve">, </w:t>
      </w:r>
      <w:r>
        <w:rPr>
          <w:rFonts w:ascii="Calibri" w:eastAsia="Calibri" w:hAnsi="Calibri" w:cs="Calibri"/>
        </w:rPr>
        <w:t></w:t>
      </w:r>
      <w:r>
        <w:t>; cf Hans G. Leser, ‘Ein Beitrag Ernst Rabels zur Privatrechtsmethode: “Die wohltätige Gewohnheit, den Rechtsfall vor der Regel zu b</w:t>
      </w:r>
      <w:r>
        <w:t xml:space="preserve">edenken” ’, in </w:t>
      </w:r>
      <w:r>
        <w:rPr>
          <w:i/>
        </w:rPr>
        <w:t>Festschrift für Ernst von Caemmerer</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David J. Gerber, ‘Sculpting the Agenda of Comparative Law: Ernst Rabel and the Façade of Language’, in Annelise Riles (ed), </w:t>
      </w:r>
      <w:r>
        <w:rPr>
          <w:i/>
        </w:rPr>
        <w:t>Rethinking the Masters of Comparative Law</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ff</w:t>
      </w:r>
      <w:r>
        <w:t>.</w:t>
      </w:r>
    </w:p>
  </w:footnote>
  <w:footnote w:id="99">
    <w:p w:rsidR="007479CF" w:rsidRDefault="00CD28B5">
      <w:pPr>
        <w:pStyle w:val="footnotedescription"/>
        <w:spacing w:line="259" w:lineRule="auto"/>
        <w:ind w:left="175" w:firstLine="0"/>
        <w:jc w:val="left"/>
      </w:pPr>
      <w:r>
        <w:rPr>
          <w:rStyle w:val="footnotemark"/>
        </w:rPr>
        <w:footnoteRef/>
      </w:r>
      <w:r>
        <w:t xml:space="preserve"> Rheinstein, </w:t>
      </w:r>
      <w:r>
        <w:rPr>
          <w:rFonts w:ascii="Calibri" w:eastAsia="Calibri" w:hAnsi="Calibri" w:cs="Calibri"/>
        </w:rPr>
        <w:t></w:t>
      </w:r>
      <w:r>
        <w:t xml:space="preserve"> </w:t>
      </w:r>
      <w:r>
        <w:rPr>
          <w:i/>
        </w:rPr>
        <w:t>University of Chicago LR</w:t>
      </w:r>
      <w:r>
        <w:t xml:space="preserve"> </w:t>
      </w:r>
      <w:r>
        <w:rPr>
          <w:rFonts w:ascii="Calibri" w:eastAsia="Calibri" w:hAnsi="Calibri" w:cs="Calibri"/>
        </w:rPr>
        <w:t></w:t>
      </w:r>
      <w:r>
        <w:t>–</w:t>
      </w:r>
      <w:r>
        <w:rPr>
          <w:rFonts w:ascii="Calibri" w:eastAsia="Calibri" w:hAnsi="Calibri" w:cs="Calibri"/>
        </w:rPr>
        <w:t></w:t>
      </w:r>
      <w:r>
        <w:t xml:space="preserve">, especially at </w:t>
      </w:r>
      <w:r>
        <w:rPr>
          <w:rFonts w:ascii="Calibri" w:eastAsia="Calibri" w:hAnsi="Calibri" w:cs="Calibri"/>
        </w:rPr>
        <w:t xml:space="preserve"> </w:t>
      </w:r>
      <w:r>
        <w:t>f.</w:t>
      </w:r>
    </w:p>
  </w:footnote>
  <w:footnote w:id="100">
    <w:p w:rsidR="007479CF" w:rsidRDefault="00CD28B5">
      <w:pPr>
        <w:pStyle w:val="footnotedescription"/>
        <w:spacing w:line="250" w:lineRule="auto"/>
      </w:pPr>
      <w:r>
        <w:rPr>
          <w:rStyle w:val="footnotemark"/>
        </w:rPr>
        <w:footnoteRef/>
      </w:r>
      <w:r>
        <w:t xml:space="preserve"> Rabel’s importance for Zweigert becomes clear in von Caemmerer, Zweigert (n </w:t>
      </w:r>
      <w:r>
        <w:rPr>
          <w:rFonts w:ascii="Calibri" w:eastAsia="Calibri" w:hAnsi="Calibri" w:cs="Calibri"/>
        </w:rPr>
        <w:t></w:t>
      </w:r>
      <w:r>
        <w:t xml:space="preserve">). Zweigert wrote a short foreword for Esser’s book; see Esser (n </w:t>
      </w:r>
      <w:r>
        <w:rPr>
          <w:rFonts w:ascii="Calibri" w:eastAsia="Calibri" w:hAnsi="Calibri" w:cs="Calibri"/>
        </w:rPr>
        <w:t></w:t>
      </w:r>
      <w:r>
        <w:t>), VII.</w:t>
      </w:r>
    </w:p>
  </w:footnote>
  <w:footnote w:id="101">
    <w:p w:rsidR="007479CF" w:rsidRDefault="00CD28B5">
      <w:pPr>
        <w:pStyle w:val="footnotedescription"/>
        <w:spacing w:line="252" w:lineRule="auto"/>
        <w:ind w:right="6"/>
      </w:pPr>
      <w:r>
        <w:rPr>
          <w:rStyle w:val="footnotemark"/>
        </w:rPr>
        <w:footnoteRef/>
      </w:r>
      <w:r>
        <w:t xml:space="preserve"> </w:t>
      </w:r>
      <w:r>
        <w:t>See eg Jaakko Husa, ‘Farewell to Functionalism or Methodological Tolerance?’, (</w:t>
      </w:r>
      <w:r>
        <w:rPr>
          <w:rFonts w:ascii="Calibri" w:eastAsia="Calibri" w:hAnsi="Calibri" w:cs="Calibri"/>
        </w:rPr>
        <w:t></w:t>
      </w:r>
      <w:r>
        <w:t xml:space="preserve">) </w:t>
      </w:r>
      <w:r>
        <w:rPr>
          <w:rFonts w:ascii="Calibri" w:eastAsia="Calibri" w:hAnsi="Calibri" w:cs="Calibri"/>
        </w:rPr>
        <w:t xml:space="preserve"> </w:t>
      </w:r>
      <w:r>
        <w:rPr>
          <w:i/>
        </w:rPr>
        <w:t>RabelsZ</w:t>
      </w:r>
      <w:r>
        <w:t xml:space="preserve"> </w:t>
      </w:r>
      <w:r>
        <w:rPr>
          <w:rFonts w:ascii="Calibri" w:eastAsia="Calibri" w:hAnsi="Calibri" w:cs="Calibri"/>
        </w:rPr>
        <w:t></w:t>
      </w:r>
      <w:r>
        <w:t xml:space="preserve">, </w:t>
      </w:r>
      <w:r>
        <w:rPr>
          <w:rFonts w:ascii="Calibri" w:eastAsia="Calibri" w:hAnsi="Calibri" w:cs="Calibri"/>
        </w:rPr>
        <w:t xml:space="preserve"> </w:t>
      </w:r>
      <w:r>
        <w:t xml:space="preserve">f; Palmer, </w:t>
      </w:r>
      <w:r>
        <w:rPr>
          <w:rFonts w:ascii="Calibri" w:eastAsia="Calibri" w:hAnsi="Calibri" w:cs="Calibri"/>
        </w:rPr>
        <w:t></w:t>
      </w:r>
      <w:r>
        <w:t xml:space="preserve"> </w:t>
      </w:r>
      <w:r>
        <w:rPr>
          <w:i/>
        </w:rPr>
        <w:t>AJCL</w:t>
      </w:r>
      <w:r>
        <w:t xml:space="preserve"> </w:t>
      </w:r>
      <w:r>
        <w:rPr>
          <w:rFonts w:ascii="Calibri" w:eastAsia="Calibri" w:hAnsi="Calibri" w:cs="Calibri"/>
        </w:rPr>
        <w:t></w:t>
      </w:r>
      <w:r>
        <w:t xml:space="preserve">; see also A.E. Onderkerk, </w:t>
      </w:r>
      <w:r>
        <w:rPr>
          <w:i/>
        </w:rPr>
        <w:t>De preliminaire fase van het rechtsvergelijkend onderzoek</w:t>
      </w:r>
      <w:r>
        <w:t xml:space="preserve"> (</w:t>
      </w:r>
      <w:r>
        <w:rPr>
          <w:rFonts w:ascii="Calibri" w:eastAsia="Calibri" w:hAnsi="Calibri" w:cs="Calibri"/>
        </w:rPr>
        <w:t></w:t>
      </w:r>
      <w:r>
        <w:t xml:space="preserve">) </w:t>
      </w:r>
      <w:r>
        <w:rPr>
          <w:rFonts w:ascii="Calibri" w:eastAsia="Calibri" w:hAnsi="Calibri" w:cs="Calibri"/>
        </w:rPr>
        <w:t>ff</w:t>
      </w:r>
      <w:r>
        <w:t>.</w:t>
      </w:r>
    </w:p>
  </w:footnote>
  <w:footnote w:id="102">
    <w:p w:rsidR="007479CF" w:rsidRDefault="00CD28B5">
      <w:pPr>
        <w:pStyle w:val="footnotedescription"/>
        <w:ind w:right="7"/>
      </w:pPr>
      <w:r>
        <w:rPr>
          <w:rStyle w:val="footnotemark"/>
        </w:rPr>
        <w:footnoteRef/>
      </w:r>
      <w:r>
        <w:t xml:space="preserve"> </w:t>
      </w:r>
      <w:r>
        <w:t>Otto Pfersmann, ‘Le droit comparé comme interpretation et comme théorie du droit’, (</w:t>
      </w:r>
      <w:r>
        <w:rPr>
          <w:rFonts w:ascii="Calibri" w:eastAsia="Calibri" w:hAnsi="Calibri" w:cs="Calibri"/>
        </w:rPr>
        <w:t></w:t>
      </w:r>
      <w:r>
        <w:t xml:space="preserve">) </w:t>
      </w:r>
      <w:r>
        <w:rPr>
          <w:rFonts w:ascii="Calibri" w:eastAsia="Calibri" w:hAnsi="Calibri" w:cs="Calibri"/>
        </w:rPr>
        <w:t></w:t>
      </w:r>
      <w:r>
        <w:t xml:space="preserve"> </w:t>
      </w:r>
      <w:r>
        <w:rPr>
          <w:i/>
        </w:rPr>
        <w:t>RIDC</w:t>
      </w:r>
      <w:r>
        <w:t xml:space="preserve"> </w:t>
      </w:r>
      <w:r>
        <w:rPr>
          <w:rFonts w:ascii="Calibri" w:eastAsia="Calibri" w:hAnsi="Calibri" w:cs="Calibri"/>
        </w:rPr>
        <w:t></w:t>
      </w:r>
      <w:r>
        <w:t>–</w:t>
      </w:r>
      <w:r>
        <w:rPr>
          <w:rFonts w:ascii="Calibri" w:eastAsia="Calibri" w:hAnsi="Calibri" w:cs="Calibri"/>
        </w:rPr>
        <w:t></w:t>
      </w:r>
      <w:r>
        <w:t>; see also Anne Peters and Heiner Schwenke, ‘Comparative Law beyond PostModernism’, (</w:t>
      </w:r>
      <w:r>
        <w:rPr>
          <w:rFonts w:ascii="Calibri" w:eastAsia="Calibri" w:hAnsi="Calibri" w:cs="Calibri"/>
        </w:rPr>
        <w:t></w:t>
      </w:r>
      <w:r>
        <w:t xml:space="preserve">) </w:t>
      </w:r>
      <w:r>
        <w:rPr>
          <w:rFonts w:ascii="Calibri" w:eastAsia="Calibri" w:hAnsi="Calibri" w:cs="Calibri"/>
        </w:rPr>
        <w:t></w:t>
      </w:r>
      <w:r>
        <w:t xml:space="preserve"> </w:t>
      </w:r>
      <w:r>
        <w:rPr>
          <w:i/>
        </w:rPr>
        <w:t>ICLQ</w:t>
      </w:r>
      <w:r>
        <w:t xml:space="preserve"> </w:t>
      </w:r>
      <w:r>
        <w:rPr>
          <w:rFonts w:ascii="Calibri" w:eastAsia="Calibri" w:hAnsi="Calibri" w:cs="Calibri"/>
        </w:rPr>
        <w:t></w:t>
      </w:r>
      <w:r>
        <w:t xml:space="preserve">, </w:t>
      </w:r>
      <w:r>
        <w:rPr>
          <w:rFonts w:ascii="Calibri" w:eastAsia="Calibri" w:hAnsi="Calibri" w:cs="Calibri"/>
        </w:rPr>
        <w:t xml:space="preserve"> </w:t>
      </w:r>
      <w:r>
        <w:t>f.</w:t>
      </w:r>
    </w:p>
  </w:footnote>
  <w:footnote w:id="103">
    <w:p w:rsidR="007479CF" w:rsidRDefault="00CD28B5">
      <w:pPr>
        <w:pStyle w:val="footnotedescription"/>
        <w:spacing w:line="259" w:lineRule="auto"/>
        <w:ind w:right="39" w:firstLine="0"/>
        <w:jc w:val="right"/>
      </w:pPr>
      <w:r>
        <w:rPr>
          <w:rStyle w:val="footnotemark"/>
        </w:rPr>
        <w:footnoteRef/>
      </w:r>
      <w:r>
        <w:t xml:space="preserve"> eg Stefan Rozmaryn, ‘Etude comparative </w:t>
      </w:r>
      <w:r>
        <w:t>de cas administratifs concrets’, (</w:t>
      </w:r>
      <w:r>
        <w:rPr>
          <w:rFonts w:ascii="Calibri" w:eastAsia="Calibri" w:hAnsi="Calibri" w:cs="Calibri"/>
        </w:rPr>
        <w:t></w:t>
      </w:r>
      <w:r>
        <w:t xml:space="preserve">) </w:t>
      </w:r>
      <w:r>
        <w:rPr>
          <w:rFonts w:ascii="Calibri" w:eastAsia="Calibri" w:hAnsi="Calibri" w:cs="Calibri"/>
        </w:rPr>
        <w:t></w:t>
      </w:r>
      <w:r>
        <w:t xml:space="preserve"> </w:t>
      </w:r>
      <w:r>
        <w:rPr>
          <w:i/>
        </w:rPr>
        <w:t>RIDC</w:t>
      </w:r>
      <w:r>
        <w:t xml:space="preserve"> </w:t>
      </w:r>
      <w:r>
        <w:rPr>
          <w:rFonts w:ascii="Calibri" w:eastAsia="Calibri" w:hAnsi="Calibri" w:cs="Calibri"/>
        </w:rPr>
        <w:t></w:t>
      </w:r>
      <w:r>
        <w:t>–</w:t>
      </w:r>
      <w:r>
        <w:rPr>
          <w:rFonts w:ascii="Calibri" w:eastAsia="Calibri" w:hAnsi="Calibri" w:cs="Calibri"/>
        </w:rPr>
        <w:t></w:t>
      </w:r>
      <w:r>
        <w:t>.</w:t>
      </w:r>
    </w:p>
  </w:footnote>
  <w:footnote w:id="104">
    <w:p w:rsidR="007479CF" w:rsidRDefault="00CD28B5">
      <w:pPr>
        <w:pStyle w:val="footnotedescription"/>
        <w:spacing w:line="262" w:lineRule="auto"/>
      </w:pPr>
      <w:r>
        <w:rPr>
          <w:rStyle w:val="footnotemark"/>
        </w:rPr>
        <w:footnoteRef/>
      </w:r>
      <w:r>
        <w:t xml:space="preserve"> Rudolf Schlesinger (ed), </w:t>
      </w:r>
      <w:r>
        <w:rPr>
          <w:i/>
        </w:rPr>
        <w:t xml:space="preserve">Formation of Contracts: A Study of the Common Core of Legal Systems </w:t>
      </w:r>
      <w:r>
        <w:t xml:space="preserve">(vol I,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105">
    <w:p w:rsidR="007479CF" w:rsidRDefault="00CD28B5">
      <w:pPr>
        <w:pStyle w:val="footnotedescription"/>
        <w:spacing w:after="11" w:line="259" w:lineRule="auto"/>
        <w:ind w:left="175" w:firstLine="0"/>
        <w:jc w:val="left"/>
      </w:pPr>
      <w:r>
        <w:rPr>
          <w:rStyle w:val="footnotemark"/>
        </w:rPr>
        <w:footnoteRef/>
      </w:r>
      <w:r>
        <w:t xml:space="preserve"> cf Ralf Michaels, ‘Common Core?’, </w:t>
      </w:r>
      <w:r>
        <w:rPr>
          <w:i/>
        </w:rPr>
        <w:t>ERPL</w:t>
      </w:r>
      <w:r>
        <w:t xml:space="preserve"> (forthcoming).</w:t>
      </w:r>
    </w:p>
  </w:footnote>
  <w:footnote w:id="106">
    <w:p w:rsidR="007479CF" w:rsidRDefault="00CD28B5">
      <w:pPr>
        <w:pStyle w:val="footnotedescription"/>
        <w:spacing w:after="7" w:line="243" w:lineRule="auto"/>
      </w:pPr>
      <w:r>
        <w:rPr>
          <w:rStyle w:val="footnotemark"/>
        </w:rPr>
        <w:footnoteRef/>
      </w:r>
      <w:r>
        <w:t xml:space="preserve"> Frankenberg, </w:t>
      </w:r>
      <w:r>
        <w:rPr>
          <w:rFonts w:ascii="Calibri" w:eastAsia="Calibri" w:hAnsi="Calibri" w:cs="Calibri"/>
        </w:rPr>
        <w:t></w:t>
      </w:r>
      <w:r>
        <w:t xml:space="preserve"> </w:t>
      </w:r>
      <w:r>
        <w:rPr>
          <w:i/>
        </w:rPr>
        <w:t>Harvard International LJ</w:t>
      </w:r>
      <w:r>
        <w:t xml:space="preserve"> </w:t>
      </w:r>
      <w:r>
        <w:rPr>
          <w:rFonts w:ascii="Calibri" w:eastAsia="Calibri" w:hAnsi="Calibri" w:cs="Calibri"/>
        </w:rPr>
        <w:t></w:t>
      </w:r>
      <w:r>
        <w:t xml:space="preserve">; Graziadei (n </w:t>
      </w:r>
      <w:r>
        <w:rPr>
          <w:rFonts w:ascii="Calibri" w:eastAsia="Calibri" w:hAnsi="Calibri" w:cs="Calibri"/>
        </w:rPr>
        <w:t></w:t>
      </w:r>
      <w:r>
        <w:t xml:space="preserve">), </w:t>
      </w:r>
      <w:r>
        <w:rPr>
          <w:rFonts w:ascii="Calibri" w:eastAsia="Calibri" w:hAnsi="Calibri" w:cs="Calibri"/>
        </w:rPr>
        <w:t></w:t>
      </w:r>
      <w:r>
        <w:t xml:space="preserve">; Rosen (n </w:t>
      </w:r>
      <w:r>
        <w:rPr>
          <w:rFonts w:ascii="Calibri" w:eastAsia="Calibri" w:hAnsi="Calibri" w:cs="Calibri"/>
        </w:rPr>
        <w:t></w:t>
      </w:r>
      <w:r>
        <w:t xml:space="preserve">), </w:t>
      </w:r>
      <w:r>
        <w:rPr>
          <w:rFonts w:ascii="Calibri" w:eastAsia="Calibri" w:hAnsi="Calibri" w:cs="Calibri"/>
        </w:rPr>
        <w:t></w:t>
      </w:r>
      <w:r>
        <w:t xml:space="preserve">; Constantinesco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‘Begri</w:t>
      </w:r>
      <w:r>
        <w:rPr>
          <w:rFonts w:ascii="Calibri" w:eastAsia="Calibri" w:hAnsi="Calibri" w:cs="Calibri"/>
        </w:rPr>
        <w:t>ff</w:t>
      </w:r>
      <w:r>
        <w:t>sjurisprudenz’ (conceptual jurisprudence).</w:t>
      </w:r>
    </w:p>
  </w:footnote>
  <w:footnote w:id="107">
    <w:p w:rsidR="007479CF" w:rsidRDefault="00CD28B5">
      <w:pPr>
        <w:pStyle w:val="footnotedescription"/>
        <w:spacing w:line="259" w:lineRule="auto"/>
        <w:ind w:left="175" w:firstLine="0"/>
        <w:jc w:val="left"/>
      </w:pPr>
      <w:r>
        <w:rPr>
          <w:rStyle w:val="footnotemark"/>
        </w:rPr>
        <w:footnoteRef/>
      </w:r>
      <w:r>
        <w:t xml:space="preserve"> See eg Ascarelli (n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xml:space="preserve">; Zweigert and Kötz (n </w:t>
      </w:r>
      <w:r>
        <w:rPr>
          <w:rFonts w:ascii="Calibri" w:eastAsia="Calibri" w:hAnsi="Calibri" w:cs="Calibri"/>
        </w:rPr>
        <w:t></w:t>
      </w:r>
      <w:r>
        <w:t xml:space="preserve">), </w:t>
      </w:r>
      <w:r>
        <w:rPr>
          <w:rFonts w:ascii="Calibri" w:eastAsia="Calibri" w:hAnsi="Calibri" w:cs="Calibri"/>
        </w:rPr>
        <w:t xml:space="preserve"> </w:t>
      </w:r>
      <w:r>
        <w:t>f.</w:t>
      </w:r>
    </w:p>
  </w:footnote>
  <w:footnote w:id="108">
    <w:p w:rsidR="007479CF" w:rsidRDefault="00CD28B5">
      <w:pPr>
        <w:pStyle w:val="footnotedescription"/>
        <w:spacing w:after="36" w:line="245" w:lineRule="auto"/>
      </w:pPr>
      <w:r>
        <w:rPr>
          <w:rStyle w:val="footnotemark"/>
        </w:rPr>
        <w:footnoteRef/>
      </w:r>
      <w:r>
        <w:t xml:space="preserve"> See eg Mark Tushnet, ‘The Possibiliti</w:t>
      </w:r>
      <w:r>
        <w:t>es of Comparative Constitutional Law’, (</w:t>
      </w:r>
      <w:r>
        <w:rPr>
          <w:rFonts w:ascii="Calibri" w:eastAsia="Calibri" w:hAnsi="Calibri" w:cs="Calibri"/>
        </w:rPr>
        <w:t></w:t>
      </w:r>
      <w:r>
        <w:t xml:space="preserve">) </w:t>
      </w:r>
      <w:r>
        <w:rPr>
          <w:rFonts w:ascii="Calibri" w:eastAsia="Calibri" w:hAnsi="Calibri" w:cs="Calibri"/>
        </w:rPr>
        <w:t></w:t>
      </w:r>
      <w:r>
        <w:t xml:space="preserve"> </w:t>
      </w:r>
      <w:r>
        <w:rPr>
          <w:i/>
        </w:rPr>
        <w:t xml:space="preserve">Yale LJ </w:t>
      </w:r>
      <w:r>
        <w:rPr>
          <w:rFonts w:ascii="Calibri" w:eastAsia="Calibri" w:hAnsi="Calibri" w:cs="Calibri"/>
        </w:rPr>
        <w:t></w:t>
      </w:r>
      <w:r>
        <w:t xml:space="preserve">, </w:t>
      </w:r>
      <w:r>
        <w:rPr>
          <w:rFonts w:ascii="Calibri" w:eastAsia="Calibri" w:hAnsi="Calibri" w:cs="Calibri"/>
        </w:rPr>
        <w:t> ff</w:t>
      </w:r>
      <w:r>
        <w:t>.</w:t>
      </w:r>
    </w:p>
  </w:footnote>
  <w:footnote w:id="109">
    <w:p w:rsidR="007479CF" w:rsidRDefault="00CD28B5">
      <w:pPr>
        <w:pStyle w:val="footnotedescription"/>
        <w:tabs>
          <w:tab w:val="center" w:pos="841"/>
          <w:tab w:val="center" w:pos="4286"/>
        </w:tabs>
        <w:spacing w:line="259" w:lineRule="auto"/>
        <w:ind w:firstLine="0"/>
        <w:jc w:val="left"/>
      </w:pPr>
      <w:r>
        <w:rPr>
          <w:rStyle w:val="footnotemark"/>
        </w:rPr>
        <w:footnoteRef/>
      </w:r>
      <w:r>
        <w:t xml:space="preserve"> Above pp </w:t>
      </w:r>
      <w:r>
        <w:rPr>
          <w:rFonts w:ascii="Calibri" w:eastAsia="Calibri" w:hAnsi="Calibri" w:cs="Calibri"/>
        </w:rPr>
        <w:t></w:t>
      </w:r>
      <w:r>
        <w:t xml:space="preserve"> f.</w:t>
      </w:r>
      <w:r>
        <w:tab/>
      </w:r>
      <w:r>
        <w:rPr>
          <w:b/>
          <w:vertAlign w:val="superscript"/>
        </w:rPr>
        <w:t xml:space="preserve">134 </w:t>
      </w:r>
      <w:r>
        <w:t xml:space="preserve">Luhmann, </w:t>
      </w:r>
      <w:r>
        <w:rPr>
          <w:i/>
        </w:rPr>
        <w:t>Soziale Systeme</w:t>
      </w:r>
      <w:r>
        <w:t xml:space="preserve">, </w:t>
      </w:r>
      <w:r>
        <w:rPr>
          <w:rFonts w:ascii="Calibri" w:eastAsia="Calibri" w:hAnsi="Calibri" w:cs="Calibri"/>
        </w:rPr>
        <w:t></w:t>
      </w:r>
      <w:r>
        <w:t xml:space="preserve"> </w:t>
      </w:r>
      <w:r>
        <w:rPr>
          <w:rFonts w:ascii="Segoe UI Symbol" w:eastAsia="Segoe UI Symbol" w:hAnsi="Segoe UI Symbol" w:cs="Segoe UI Symbol"/>
        </w:rPr>
        <w:t>=</w:t>
      </w:r>
      <w:r>
        <w:t xml:space="preserve"> </w:t>
      </w:r>
      <w:r>
        <w:rPr>
          <w:i/>
        </w:rPr>
        <w:t>Social Systems</w:t>
      </w:r>
      <w:r>
        <w:t xml:space="preserve"> </w:t>
      </w:r>
      <w:r>
        <w:rPr>
          <w:rFonts w:ascii="Calibri" w:eastAsia="Calibri" w:hAnsi="Calibri" w:cs="Calibri"/>
        </w:rPr>
        <w:t></w:t>
      </w:r>
      <w:r>
        <w:t xml:space="preserve"> (both n </w:t>
      </w:r>
      <w:r>
        <w:rPr>
          <w:rFonts w:ascii="Calibri" w:eastAsia="Calibri" w:hAnsi="Calibri" w:cs="Calibri"/>
        </w:rPr>
        <w:t></w:t>
      </w:r>
      <w:r>
        <w:t>).</w:t>
      </w:r>
    </w:p>
  </w:footnote>
  <w:footnote w:id="110">
    <w:p w:rsidR="007479CF" w:rsidRDefault="00CD28B5">
      <w:pPr>
        <w:pStyle w:val="footnotedescription"/>
        <w:spacing w:after="19" w:line="259" w:lineRule="auto"/>
        <w:ind w:left="175" w:firstLine="0"/>
        <w:jc w:val="left"/>
      </w:pPr>
      <w:r>
        <w:rPr>
          <w:rStyle w:val="footnotemark"/>
        </w:rPr>
        <w:footnoteRef/>
      </w:r>
      <w:r>
        <w:t xml:space="preserve"> Above, n </w:t>
      </w:r>
      <w:r>
        <w:rPr>
          <w:rFonts w:ascii="Calibri" w:eastAsia="Calibri" w:hAnsi="Calibri" w:cs="Calibri"/>
        </w:rPr>
        <w:t></w:t>
      </w:r>
      <w:r>
        <w:t>.</w:t>
      </w:r>
    </w:p>
  </w:footnote>
  <w:footnote w:id="111">
    <w:p w:rsidR="007479CF" w:rsidRDefault="00CD28B5">
      <w:pPr>
        <w:pStyle w:val="footnotedescription"/>
        <w:tabs>
          <w:tab w:val="center" w:pos="1351"/>
          <w:tab w:val="center" w:pos="4040"/>
        </w:tabs>
        <w:spacing w:line="259" w:lineRule="auto"/>
        <w:ind w:firstLine="0"/>
        <w:jc w:val="left"/>
      </w:pPr>
      <w:r>
        <w:rPr>
          <w:rStyle w:val="footnotemark"/>
        </w:rPr>
        <w:footnoteRef/>
      </w:r>
      <w:r>
        <w:t xml:space="preserve"> Zweigert, </w:t>
      </w:r>
      <w:r>
        <w:rPr>
          <w:rFonts w:ascii="Calibri" w:eastAsia="Calibri" w:hAnsi="Calibri" w:cs="Calibri"/>
        </w:rPr>
        <w:t></w:t>
      </w:r>
      <w:r>
        <w:t xml:space="preserve"> </w:t>
      </w:r>
      <w:r>
        <w:rPr>
          <w:i/>
        </w:rPr>
        <w:t>RIDC</w:t>
      </w:r>
      <w:r>
        <w:t xml:space="preserve"> (n </w:t>
      </w:r>
      <w:r>
        <w:rPr>
          <w:rFonts w:ascii="Calibri" w:eastAsia="Calibri" w:hAnsi="Calibri" w:cs="Calibri"/>
        </w:rPr>
        <w:t></w:t>
      </w:r>
      <w:r>
        <w:t xml:space="preserve">), </w:t>
      </w:r>
      <w:r>
        <w:rPr>
          <w:rFonts w:ascii="Calibri" w:eastAsia="Calibri" w:hAnsi="Calibri" w:cs="Calibri"/>
        </w:rPr>
        <w:t xml:space="preserve"> </w:t>
      </w:r>
      <w:r>
        <w:t>f.</w:t>
      </w:r>
      <w:r>
        <w:tab/>
      </w:r>
      <w:r>
        <w:rPr>
          <w:b/>
          <w:vertAlign w:val="superscript"/>
        </w:rPr>
        <w:t xml:space="preserve">137 </w:t>
      </w:r>
      <w:r>
        <w:t xml:space="preserve">Ancel, ‘Problème’ (n </w:t>
      </w:r>
      <w:r>
        <w:rPr>
          <w:rFonts w:ascii="Calibri" w:eastAsia="Calibri" w:hAnsi="Calibri" w:cs="Calibri"/>
        </w:rPr>
        <w:t></w:t>
      </w:r>
      <w:r>
        <w:t xml:space="preserve">), </w:t>
      </w:r>
      <w:r>
        <w:rPr>
          <w:rFonts w:ascii="Calibri" w:eastAsia="Calibri" w:hAnsi="Calibri" w:cs="Calibri"/>
        </w:rPr>
        <w:t></w:t>
      </w:r>
      <w:r>
        <w:t>.</w:t>
      </w:r>
    </w:p>
  </w:footnote>
  <w:footnote w:id="112">
    <w:p w:rsidR="007479CF" w:rsidRDefault="00CD28B5">
      <w:pPr>
        <w:pStyle w:val="footnotedescription"/>
        <w:spacing w:line="246" w:lineRule="auto"/>
        <w:ind w:right="4"/>
      </w:pPr>
      <w:r>
        <w:rPr>
          <w:rStyle w:val="footnotemark"/>
        </w:rPr>
        <w:footnoteRef/>
      </w:r>
      <w:r>
        <w:t xml:space="preserve"> </w:t>
      </w:r>
      <w:r>
        <w:t xml:space="preserve">cf Frankenberg, </w:t>
      </w:r>
      <w:r>
        <w:rPr>
          <w:rFonts w:ascii="Calibri" w:eastAsia="Calibri" w:hAnsi="Calibri" w:cs="Calibri"/>
        </w:rPr>
        <w:t></w:t>
      </w:r>
      <w:r>
        <w:t xml:space="preserve"> </w:t>
      </w:r>
      <w:r>
        <w:rPr>
          <w:i/>
        </w:rPr>
        <w:t>Harvard International LJ</w:t>
      </w:r>
      <w:r>
        <w:t xml:space="preserve"> </w:t>
      </w:r>
      <w:r>
        <w:rPr>
          <w:rFonts w:ascii="Calibri" w:eastAsia="Calibri" w:hAnsi="Calibri" w:cs="Calibri"/>
        </w:rPr>
        <w:t></w:t>
      </w:r>
      <w:r>
        <w:t xml:space="preserve">; Gordon, </w:t>
      </w:r>
      <w:r>
        <w:rPr>
          <w:rFonts w:ascii="Calibri" w:eastAsia="Calibri" w:hAnsi="Calibri" w:cs="Calibri"/>
        </w:rPr>
        <w:t></w:t>
      </w:r>
      <w:r>
        <w:t xml:space="preserve"> </w:t>
      </w:r>
      <w:r>
        <w:rPr>
          <w:i/>
        </w:rPr>
        <w:t>Stanford LR</w:t>
      </w:r>
      <w:r>
        <w:t xml:space="preserve"> </w:t>
      </w:r>
      <w:r>
        <w:rPr>
          <w:rFonts w:ascii="Calibri" w:eastAsia="Calibri" w:hAnsi="Calibri" w:cs="Calibri"/>
        </w:rPr>
        <w:t> ff</w:t>
      </w:r>
      <w:r>
        <w:t>; Geo</w:t>
      </w:r>
      <w:r>
        <w:rPr>
          <w:rFonts w:ascii="Calibri" w:eastAsia="Calibri" w:hAnsi="Calibri" w:cs="Calibri"/>
        </w:rPr>
        <w:t>ff</w:t>
      </w:r>
      <w:r>
        <w:t xml:space="preserve">rey Samuel, ‘Epistemology and Comparative Law: Contributions from the Sciences and Social Sciences’, in Mark van Hoecke (ed), </w:t>
      </w:r>
      <w:r>
        <w:rPr>
          <w:i/>
        </w:rPr>
        <w:t>Epistemology and Methodology of Comparative L</w:t>
      </w:r>
      <w:r>
        <w:rPr>
          <w:i/>
        </w:rPr>
        <w:t>aw</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ff</w:t>
      </w:r>
      <w:r>
        <w:t>.</w:t>
      </w:r>
    </w:p>
  </w:footnote>
  <w:footnote w:id="113">
    <w:p w:rsidR="007479CF" w:rsidRDefault="00CD28B5">
      <w:pPr>
        <w:pStyle w:val="footnotedescription"/>
        <w:spacing w:line="248" w:lineRule="auto"/>
        <w:ind w:left="175" w:right="1977" w:firstLine="0"/>
        <w:jc w:val="left"/>
      </w:pPr>
      <w:r>
        <w:rPr>
          <w:rStyle w:val="footnotemark"/>
        </w:rPr>
        <w:footnoteRef/>
      </w:r>
      <w:r>
        <w:t xml:space="preserve"> Geo</w:t>
      </w:r>
      <w:r>
        <w:rPr>
          <w:rFonts w:ascii="Calibri" w:eastAsia="Calibri" w:hAnsi="Calibri" w:cs="Calibri"/>
        </w:rPr>
        <w:t>ff</w:t>
      </w:r>
      <w:r>
        <w:t xml:space="preserve">rey Samuel, </w:t>
      </w:r>
      <w:r>
        <w:rPr>
          <w:i/>
        </w:rPr>
        <w:t>Epistemology and Method in Law</w:t>
      </w:r>
      <w:r>
        <w:t xml:space="preserve"> (</w:t>
      </w:r>
      <w:r>
        <w:rPr>
          <w:rFonts w:ascii="Calibri" w:eastAsia="Calibri" w:hAnsi="Calibri" w:cs="Calibri"/>
        </w:rPr>
        <w:t></w:t>
      </w:r>
      <w:r>
        <w:t xml:space="preserve">), </w:t>
      </w:r>
      <w:r>
        <w:rPr>
          <w:rFonts w:ascii="Calibri" w:eastAsia="Calibri" w:hAnsi="Calibri" w:cs="Calibri"/>
        </w:rPr>
        <w:t> ff</w:t>
      </w:r>
      <w:r>
        <w:t xml:space="preserve">. </w:t>
      </w:r>
      <w:r>
        <w:rPr>
          <w:b/>
          <w:vertAlign w:val="superscript"/>
        </w:rPr>
        <w:t xml:space="preserve">140 </w:t>
      </w:r>
      <w:r>
        <w:t xml:space="preserve">Graziadei (n </w:t>
      </w:r>
      <w:r>
        <w:rPr>
          <w:rFonts w:ascii="Calibri" w:eastAsia="Calibri" w:hAnsi="Calibri" w:cs="Calibri"/>
        </w:rPr>
        <w:t></w:t>
      </w:r>
      <w:r>
        <w:t xml:space="preserve">), </w:t>
      </w:r>
      <w:r>
        <w:rPr>
          <w:rFonts w:ascii="Calibri" w:eastAsia="Calibri" w:hAnsi="Calibri" w:cs="Calibri"/>
        </w:rPr>
        <w:t></w:t>
      </w:r>
      <w:r>
        <w:t>.</w:t>
      </w:r>
    </w:p>
  </w:footnote>
  <w:footnote w:id="114">
    <w:p w:rsidR="007479CF" w:rsidRDefault="00CD28B5">
      <w:pPr>
        <w:pStyle w:val="footnotedescription"/>
        <w:spacing w:line="241" w:lineRule="auto"/>
        <w:ind w:right="5"/>
      </w:pPr>
      <w:r>
        <w:rPr>
          <w:rStyle w:val="footnotemark"/>
        </w:rPr>
        <w:footnoteRef/>
      </w:r>
      <w:r>
        <w:t xml:space="preserve"> Frankenberg, </w:t>
      </w:r>
      <w:r>
        <w:rPr>
          <w:rFonts w:ascii="Calibri" w:eastAsia="Calibri" w:hAnsi="Calibri" w:cs="Calibri"/>
        </w:rPr>
        <w:t></w:t>
      </w:r>
      <w:r>
        <w:t xml:space="preserve"> </w:t>
      </w:r>
      <w:r>
        <w:rPr>
          <w:i/>
        </w:rPr>
        <w:t>Harvard International LJ</w:t>
      </w:r>
      <w:r>
        <w:t xml:space="preserve"> </w:t>
      </w:r>
      <w:r>
        <w:rPr>
          <w:rFonts w:ascii="Calibri" w:eastAsia="Calibri" w:hAnsi="Calibri" w:cs="Calibri"/>
        </w:rPr>
        <w:t></w:t>
      </w:r>
      <w:r>
        <w:t>; Mark van Hoecke and Mark Warrington, ‘</w:t>
      </w:r>
      <w:r>
        <w:t>Legal Cultures, Legal Paradigms and Legal Doctrine: Towards a New Model for Comparative Law’, (</w:t>
      </w:r>
      <w:r>
        <w:rPr>
          <w:rFonts w:ascii="Calibri" w:eastAsia="Calibri" w:hAnsi="Calibri" w:cs="Calibri"/>
        </w:rPr>
        <w:t></w:t>
      </w:r>
      <w:r>
        <w:t xml:space="preserve">) </w:t>
      </w:r>
      <w:r>
        <w:rPr>
          <w:rFonts w:ascii="Calibri" w:eastAsia="Calibri" w:hAnsi="Calibri" w:cs="Calibri"/>
        </w:rPr>
        <w:t></w:t>
      </w:r>
      <w:r>
        <w:t xml:space="preserve"> </w:t>
      </w:r>
      <w:r>
        <w:rPr>
          <w:i/>
        </w:rPr>
        <w:t>ICLQ</w:t>
      </w:r>
      <w:r>
        <w:t xml:space="preserve"> </w:t>
      </w:r>
      <w:r>
        <w:rPr>
          <w:rFonts w:ascii="Calibri" w:eastAsia="Calibri" w:hAnsi="Calibri" w:cs="Calibri"/>
        </w:rPr>
        <w:t></w:t>
      </w:r>
      <w:r>
        <w:t xml:space="preserve">, </w:t>
      </w:r>
      <w:r>
        <w:rPr>
          <w:rFonts w:ascii="Calibri" w:eastAsia="Calibri" w:hAnsi="Calibri" w:cs="Calibri"/>
        </w:rPr>
        <w:t></w:t>
      </w:r>
      <w:r>
        <w:t xml:space="preserve">; Husa, </w:t>
      </w:r>
      <w:r>
        <w:rPr>
          <w:rFonts w:ascii="Calibri" w:eastAsia="Calibri" w:hAnsi="Calibri" w:cs="Calibri"/>
        </w:rPr>
        <w:t></w:t>
      </w:r>
      <w:r>
        <w:t xml:space="preserve"> </w:t>
      </w:r>
      <w:r>
        <w:rPr>
          <w:i/>
        </w:rPr>
        <w:t>RabelsZ</w:t>
      </w:r>
      <w:r>
        <w:t xml:space="preserve"> </w:t>
      </w:r>
      <w:r>
        <w:rPr>
          <w:rFonts w:ascii="Calibri" w:eastAsia="Calibri" w:hAnsi="Calibri" w:cs="Calibri"/>
        </w:rPr>
        <w:t></w:t>
      </w:r>
      <w:r>
        <w:t>.</w:t>
      </w:r>
    </w:p>
  </w:footnote>
  <w:footnote w:id="115">
    <w:p w:rsidR="007479CF" w:rsidRDefault="00CD28B5">
      <w:pPr>
        <w:pStyle w:val="footnotedescription"/>
        <w:spacing w:line="249" w:lineRule="auto"/>
        <w:ind w:right="4"/>
      </w:pPr>
      <w:r>
        <w:rPr>
          <w:rStyle w:val="footnotemark"/>
        </w:rPr>
        <w:footnoteRef/>
      </w:r>
      <w:r>
        <w:t xml:space="preserve"> Gessner, </w:t>
      </w:r>
      <w:r>
        <w:rPr>
          <w:rFonts w:ascii="Calibri" w:eastAsia="Calibri" w:hAnsi="Calibri" w:cs="Calibri"/>
        </w:rPr>
        <w:t></w:t>
      </w:r>
      <w:r>
        <w:t xml:space="preserve"> </w:t>
      </w:r>
      <w:r>
        <w:rPr>
          <w:i/>
        </w:rPr>
        <w:t>RabelsZ</w:t>
      </w:r>
      <w:r>
        <w:t xml:space="preserve"> </w:t>
      </w:r>
      <w:r>
        <w:rPr>
          <w:rFonts w:ascii="Calibri" w:eastAsia="Calibri" w:hAnsi="Calibri" w:cs="Calibri"/>
        </w:rPr>
        <w:t> ff</w:t>
      </w:r>
      <w:r>
        <w:t xml:space="preserve">; Hans F. Zacher, ‘Vorfragen zu den Methoden der Sozialrechtsvergleichung’, in </w:t>
      </w:r>
      <w:r>
        <w:rPr>
          <w:i/>
        </w:rPr>
        <w:t>idem</w:t>
      </w:r>
      <w:r>
        <w:t xml:space="preserve"> (ed</w:t>
      </w:r>
      <w:r>
        <w:t xml:space="preserve">), </w:t>
      </w:r>
      <w:r>
        <w:rPr>
          <w:i/>
        </w:rPr>
        <w:t>Methodische Probleme des Sozialrechtsvergleichs</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ff</w:t>
      </w:r>
      <w:r>
        <w:t xml:space="preserve">; Hill, </w:t>
      </w:r>
      <w:r>
        <w:rPr>
          <w:rFonts w:ascii="Calibri" w:eastAsia="Calibri" w:hAnsi="Calibri" w:cs="Calibri"/>
        </w:rPr>
        <w:t xml:space="preserve"> </w:t>
      </w:r>
      <w:r>
        <w:rPr>
          <w:i/>
        </w:rPr>
        <w:t>Oxford Journal of Legal Studies</w:t>
      </w:r>
      <w:r>
        <w:t xml:space="preserve"> </w:t>
      </w:r>
      <w:r>
        <w:rPr>
          <w:rFonts w:ascii="Calibri" w:eastAsia="Calibri" w:hAnsi="Calibri" w:cs="Calibri"/>
        </w:rPr>
        <w:t></w:t>
      </w:r>
      <w:r>
        <w:t xml:space="preserve">; Onderkerk (n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ff</w:t>
      </w:r>
      <w:r>
        <w:t>; Teemu Ruskola, ‘Legal Orientalism’, (</w:t>
      </w:r>
      <w:r>
        <w:rPr>
          <w:rFonts w:ascii="Calibri" w:eastAsia="Calibri" w:hAnsi="Calibri" w:cs="Calibri"/>
        </w:rPr>
        <w:t></w:t>
      </w:r>
      <w:r>
        <w:t xml:space="preserve">) </w:t>
      </w:r>
      <w:r>
        <w:rPr>
          <w:rFonts w:ascii="Calibri" w:eastAsia="Calibri" w:hAnsi="Calibri" w:cs="Calibri"/>
        </w:rPr>
        <w:t></w:t>
      </w:r>
      <w:r>
        <w:t xml:space="preserve"> </w:t>
      </w:r>
      <w:r>
        <w:rPr>
          <w:i/>
        </w:rPr>
        <w:t>Michigan LR</w:t>
      </w:r>
      <w:r>
        <w:t xml:space="preserve"> </w:t>
      </w:r>
      <w:r>
        <w:rPr>
          <w:rFonts w:ascii="Calibri" w:eastAsia="Calibri" w:hAnsi="Calibri" w:cs="Calibri"/>
        </w:rPr>
        <w:t></w:t>
      </w:r>
      <w:r>
        <w:t xml:space="preserve">, </w:t>
      </w:r>
      <w:r>
        <w:rPr>
          <w:rFonts w:ascii="Calibri" w:eastAsia="Calibri" w:hAnsi="Calibri" w:cs="Calibri"/>
        </w:rPr>
        <w:t xml:space="preserve"> </w:t>
      </w:r>
      <w:r>
        <w:t xml:space="preserve">f. See already Ernst von Hippel, Book Review of Salomon (n </w:t>
      </w:r>
      <w:r>
        <w:rPr>
          <w:rFonts w:ascii="Calibri" w:eastAsia="Calibri" w:hAnsi="Calibri" w:cs="Calibri"/>
        </w:rPr>
        <w:t></w:t>
      </w:r>
      <w:r>
        <w:t>), (</w:t>
      </w:r>
      <w:r>
        <w:rPr>
          <w:rFonts w:ascii="Calibri" w:eastAsia="Calibri" w:hAnsi="Calibri" w:cs="Calibri"/>
        </w:rPr>
        <w:t></w:t>
      </w:r>
      <w:r>
        <w:t xml:space="preserve">) </w:t>
      </w:r>
      <w:r>
        <w:rPr>
          <w:rFonts w:ascii="Calibri" w:eastAsia="Calibri" w:hAnsi="Calibri" w:cs="Calibri"/>
        </w:rPr>
        <w:t xml:space="preserve"> </w:t>
      </w:r>
      <w:r>
        <w:rPr>
          <w:i/>
        </w:rPr>
        <w:t>Archiv des ö</w:t>
      </w:r>
      <w:r>
        <w:rPr>
          <w:rFonts w:ascii="Calibri" w:eastAsia="Calibri" w:hAnsi="Calibri" w:cs="Calibri"/>
          <w:i/>
        </w:rPr>
        <w:t>ff</w:t>
      </w:r>
      <w:r>
        <w:rPr>
          <w:i/>
        </w:rPr>
        <w:t>entlichen Rechts</w:t>
      </w:r>
      <w:r>
        <w:t xml:space="preserve"> </w:t>
      </w:r>
      <w:r>
        <w:rPr>
          <w:rFonts w:ascii="Calibri" w:eastAsia="Calibri" w:hAnsi="Calibri" w:cs="Calibri"/>
        </w:rPr>
        <w:t></w:t>
      </w:r>
      <w:r>
        <w:t xml:space="preserve">, </w:t>
      </w:r>
      <w:r>
        <w:rPr>
          <w:rFonts w:ascii="Calibri" w:eastAsia="Calibri" w:hAnsi="Calibri" w:cs="Calibri"/>
        </w:rPr>
        <w:t xml:space="preserve"> </w:t>
      </w:r>
      <w:r>
        <w:t>f.</w:t>
      </w:r>
    </w:p>
  </w:footnote>
  <w:footnote w:id="116">
    <w:p w:rsidR="007479CF" w:rsidRDefault="00CD28B5">
      <w:pPr>
        <w:pStyle w:val="footnotedescription"/>
        <w:spacing w:line="278" w:lineRule="auto"/>
      </w:pPr>
      <w:r>
        <w:rPr>
          <w:rStyle w:val="footnotemark"/>
        </w:rPr>
        <w:footnoteRef/>
      </w:r>
      <w:r>
        <w:t xml:space="preserve"> See Arwed Blomeyer, ‘Zur Frage der Abgrenzung von vergleichender Rechtswissenschaft und Rechtsphilosophie’,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 especiall</w:t>
      </w:r>
      <w:r>
        <w:t xml:space="preserve">y at </w:t>
      </w:r>
      <w:r>
        <w:rPr>
          <w:rFonts w:ascii="Calibri" w:eastAsia="Calibri" w:hAnsi="Calibri" w:cs="Calibri"/>
        </w:rPr>
        <w:t xml:space="preserve"> </w:t>
      </w:r>
      <w:r>
        <w:t>f.</w:t>
      </w:r>
    </w:p>
  </w:footnote>
  <w:footnote w:id="117">
    <w:p w:rsidR="007479CF" w:rsidRDefault="00CD28B5">
      <w:pPr>
        <w:pStyle w:val="footnotedescription"/>
        <w:spacing w:after="44" w:line="259" w:lineRule="auto"/>
        <w:ind w:left="175" w:firstLine="0"/>
        <w:jc w:val="left"/>
      </w:pPr>
      <w:r>
        <w:rPr>
          <w:rStyle w:val="footnotemark"/>
        </w:rPr>
        <w:footnoteRef/>
      </w:r>
      <w:r>
        <w:t xml:space="preserve"> Salomon (n </w:t>
      </w:r>
      <w:r>
        <w:rPr>
          <w:rFonts w:ascii="Calibri" w:eastAsia="Calibri" w:hAnsi="Calibri" w:cs="Calibri"/>
        </w:rPr>
        <w:t></w:t>
      </w:r>
      <w:r>
        <w:t xml:space="preserve">), </w:t>
      </w:r>
      <w:r>
        <w:rPr>
          <w:rFonts w:ascii="Calibri" w:eastAsia="Calibri" w:hAnsi="Calibri" w:cs="Calibri"/>
        </w:rPr>
        <w:t> ff</w:t>
      </w:r>
      <w:r>
        <w:t>.</w:t>
      </w:r>
    </w:p>
  </w:footnote>
  <w:footnote w:id="118">
    <w:p w:rsidR="007479CF" w:rsidRDefault="00CD28B5">
      <w:pPr>
        <w:pStyle w:val="footnotedescription"/>
        <w:spacing w:line="244" w:lineRule="auto"/>
      </w:pPr>
      <w:r>
        <w:rPr>
          <w:rStyle w:val="footnotemark"/>
        </w:rPr>
        <w:footnoteRef/>
      </w:r>
      <w:r>
        <w:t xml:space="preserve"> Luhmann, </w:t>
      </w:r>
      <w:r>
        <w:rPr>
          <w:i/>
        </w:rPr>
        <w:t>Soziale Systeme</w:t>
      </w:r>
      <w:r>
        <w:t xml:space="preserve"> </w:t>
      </w:r>
      <w:r>
        <w:rPr>
          <w:rFonts w:ascii="Calibri" w:eastAsia="Calibri" w:hAnsi="Calibri" w:cs="Calibri"/>
        </w:rPr>
        <w:t></w:t>
      </w:r>
      <w:r>
        <w:t xml:space="preserve"> </w:t>
      </w:r>
      <w:r>
        <w:rPr>
          <w:rFonts w:ascii="Segoe UI Symbol" w:eastAsia="Segoe UI Symbol" w:hAnsi="Segoe UI Symbol" w:cs="Segoe UI Symbol"/>
        </w:rPr>
        <w:t>=</w:t>
      </w:r>
      <w:r>
        <w:t xml:space="preserve"> </w:t>
      </w:r>
      <w:r>
        <w:rPr>
          <w:i/>
        </w:rPr>
        <w:t>Social Systems</w:t>
      </w:r>
      <w:r>
        <w:t xml:space="preserve"> </w:t>
      </w:r>
      <w:r>
        <w:rPr>
          <w:rFonts w:ascii="Calibri" w:eastAsia="Calibri" w:hAnsi="Calibri" w:cs="Calibri"/>
        </w:rPr>
        <w:t></w:t>
      </w:r>
      <w:r>
        <w:t xml:space="preserve"> (both n </w:t>
      </w:r>
      <w:r>
        <w:rPr>
          <w:rFonts w:ascii="Calibri" w:eastAsia="Calibri" w:hAnsi="Calibri" w:cs="Calibri"/>
        </w:rPr>
        <w:t></w:t>
      </w:r>
      <w:r>
        <w:t xml:space="preserve">); Florijn (n </w:t>
      </w:r>
      <w:r>
        <w:rPr>
          <w:rFonts w:ascii="Calibri" w:eastAsia="Calibri" w:hAnsi="Calibri" w:cs="Calibri"/>
        </w:rPr>
        <w:t></w:t>
      </w:r>
      <w:r>
        <w:t xml:space="preserve">) </w:t>
      </w:r>
      <w:r>
        <w:rPr>
          <w:rFonts w:ascii="Calibri" w:eastAsia="Calibri" w:hAnsi="Calibri" w:cs="Calibri"/>
        </w:rPr>
        <w:t></w:t>
      </w:r>
      <w:r>
        <w:t>; Nils Jansen, ‘Dogmatik, Erkenntnis und Theorie im europäischen Privatrecht’, (</w:t>
      </w:r>
      <w:r>
        <w:rPr>
          <w:rFonts w:ascii="Calibri" w:eastAsia="Calibri" w:hAnsi="Calibri" w:cs="Calibri"/>
        </w:rPr>
        <w:t></w:t>
      </w:r>
      <w:r>
        <w:t xml:space="preserve">) </w:t>
      </w:r>
      <w:r>
        <w:rPr>
          <w:rFonts w:ascii="Calibri" w:eastAsia="Calibri" w:hAnsi="Calibri" w:cs="Calibri"/>
        </w:rPr>
        <w:t></w:t>
      </w:r>
      <w:r>
        <w:t xml:space="preserve"> </w:t>
      </w:r>
      <w:r>
        <w:rPr>
          <w:i/>
        </w:rPr>
        <w:t>Zeitschrift für Europäisches Privatrecht</w:t>
      </w:r>
      <w:r>
        <w:t xml:space="preserve"> </w:t>
      </w:r>
      <w:r>
        <w:rPr>
          <w:rFonts w:ascii="Calibri" w:eastAsia="Calibri" w:hAnsi="Calibri" w:cs="Calibri"/>
        </w:rPr>
        <w:t></w:t>
      </w:r>
      <w:r>
        <w:t xml:space="preserve">, </w:t>
      </w:r>
      <w:r>
        <w:rPr>
          <w:rFonts w:ascii="Calibri" w:eastAsia="Calibri" w:hAnsi="Calibri" w:cs="Calibri"/>
        </w:rPr>
        <w:t></w:t>
      </w:r>
      <w:r>
        <w:t>.</w:t>
      </w:r>
    </w:p>
  </w:footnote>
  <w:footnote w:id="119">
    <w:p w:rsidR="007479CF" w:rsidRDefault="00CD28B5">
      <w:pPr>
        <w:pStyle w:val="footnotedescription"/>
        <w:spacing w:after="5" w:line="245" w:lineRule="auto"/>
        <w:ind w:right="1"/>
      </w:pPr>
      <w:r>
        <w:rPr>
          <w:rStyle w:val="footnotemark"/>
        </w:rPr>
        <w:footnoteRef/>
      </w:r>
      <w:r>
        <w:t xml:space="preserve"> Ernst Rabel, ‘El fomento internacional del derecho privado’, (</w:t>
      </w:r>
      <w:r>
        <w:rPr>
          <w:rFonts w:ascii="Calibri" w:eastAsia="Calibri" w:hAnsi="Calibri" w:cs="Calibri"/>
        </w:rPr>
        <w:t></w:t>
      </w:r>
      <w:r>
        <w:t xml:space="preserve">) </w:t>
      </w:r>
      <w:r>
        <w:rPr>
          <w:rFonts w:ascii="Calibri" w:eastAsia="Calibri" w:hAnsi="Calibri" w:cs="Calibri"/>
        </w:rPr>
        <w:t></w:t>
      </w:r>
      <w:r>
        <w:t xml:space="preserve"> </w:t>
      </w:r>
      <w:r>
        <w:rPr>
          <w:i/>
        </w:rPr>
        <w:t>Revista de derecho privado</w:t>
      </w:r>
      <w:r>
        <w:t xml:space="preserve"> </w:t>
      </w:r>
      <w:r>
        <w:rPr>
          <w:rFonts w:ascii="Calibri" w:eastAsia="Calibri" w:hAnsi="Calibri" w:cs="Calibri"/>
        </w:rPr>
        <w:t></w:t>
      </w:r>
      <w:r>
        <w:t xml:space="preserve">, </w:t>
      </w:r>
      <w:r>
        <w:rPr>
          <w:rFonts w:ascii="Calibri" w:eastAsia="Calibri" w:hAnsi="Calibri" w:cs="Calibri"/>
        </w:rPr>
        <w:t></w:t>
      </w:r>
      <w:r>
        <w:t xml:space="preserve">; reprinted in </w:t>
      </w:r>
      <w:r>
        <w:rPr>
          <w:i/>
        </w:rPr>
        <w:t>Gesammelte Aufsätze</w:t>
      </w:r>
      <w:r>
        <w:t xml:space="preserve"> (n </w:t>
      </w:r>
      <w:r>
        <w:rPr>
          <w:rFonts w:ascii="Calibri" w:eastAsia="Calibri" w:hAnsi="Calibri" w:cs="Calibri"/>
        </w:rPr>
        <w:t></w:t>
      </w:r>
      <w:r>
        <w:t xml:space="preserve">, vol III) </w:t>
      </w:r>
      <w:r>
        <w:rPr>
          <w:rFonts w:ascii="Calibri" w:eastAsia="Calibri" w:hAnsi="Calibri" w:cs="Calibri"/>
        </w:rPr>
        <w:t></w:t>
      </w:r>
      <w:r>
        <w:t xml:space="preserve">, </w:t>
      </w:r>
      <w:r>
        <w:rPr>
          <w:rFonts w:ascii="Calibri" w:eastAsia="Calibri" w:hAnsi="Calibri" w:cs="Calibri"/>
        </w:rPr>
        <w:t></w:t>
      </w:r>
      <w:r>
        <w:t xml:space="preserve">: ‘el </w:t>
      </w:r>
      <w:r>
        <w:rPr>
          <w:i/>
        </w:rPr>
        <w:t>tertium comparationis</w:t>
      </w:r>
      <w:r>
        <w:t>, constituido</w:t>
      </w:r>
      <w:r>
        <w:t xml:space="preserve"> de un lado por las intenciones sociales económicas y éticas de las leyes, y de otro por las exigencias practicas de la vida que se presentan como parecidas entre sí’ (the </w:t>
      </w:r>
      <w:r>
        <w:rPr>
          <w:i/>
        </w:rPr>
        <w:t>tertium comparationis</w:t>
      </w:r>
      <w:r>
        <w:t>, constituted on the one hand by the law’s social, economic, an</w:t>
      </w:r>
      <w:r>
        <w:t xml:space="preserve">d ethical purposes, on the other hand by the practical exigencies of life as they similarly present themselves). See also </w:t>
      </w:r>
      <w:r>
        <w:rPr>
          <w:i/>
        </w:rPr>
        <w:t>idem</w:t>
      </w:r>
      <w:r>
        <w:t>, ‘In der Schule von Ludwig Mitteis’,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w:t>
      </w:r>
      <w:r>
        <w:rPr>
          <w:i/>
        </w:rPr>
        <w:t>Journal of Juristic Papyrology</w:t>
      </w:r>
      <w:r>
        <w:t xml:space="preserve"> </w:t>
      </w:r>
      <w:r>
        <w:rPr>
          <w:rFonts w:ascii="Calibri" w:eastAsia="Calibri" w:hAnsi="Calibri" w:cs="Calibri"/>
        </w:rPr>
        <w:t></w:t>
      </w:r>
      <w:r>
        <w:t xml:space="preserve">, </w:t>
      </w:r>
      <w:r>
        <w:rPr>
          <w:rFonts w:ascii="Calibri" w:eastAsia="Calibri" w:hAnsi="Calibri" w:cs="Calibri"/>
        </w:rPr>
        <w:t></w:t>
      </w:r>
      <w:r>
        <w:t xml:space="preserve">; reprinted in </w:t>
      </w:r>
      <w:r>
        <w:rPr>
          <w:i/>
        </w:rPr>
        <w:t xml:space="preserve">Gesammelte Aufsätze </w:t>
      </w:r>
      <w:r>
        <w:t xml:space="preserve">(n </w:t>
      </w:r>
      <w:r>
        <w:rPr>
          <w:rFonts w:ascii="Calibri" w:eastAsia="Calibri" w:hAnsi="Calibri" w:cs="Calibri"/>
        </w:rPr>
        <w:t></w:t>
      </w:r>
      <w:r>
        <w:t xml:space="preserve">, </w:t>
      </w:r>
      <w:r>
        <w:t xml:space="preserve">vol III) </w:t>
      </w:r>
      <w:r>
        <w:rPr>
          <w:rFonts w:ascii="Calibri" w:eastAsia="Calibri" w:hAnsi="Calibri" w:cs="Calibri"/>
        </w:rPr>
        <w:t></w:t>
      </w:r>
      <w:r>
        <w:t xml:space="preserve">, </w:t>
      </w:r>
      <w:r>
        <w:rPr>
          <w:rFonts w:ascii="Calibri" w:eastAsia="Calibri" w:hAnsi="Calibri" w:cs="Calibri"/>
        </w:rPr>
        <w:t></w:t>
      </w:r>
      <w:r>
        <w:t>: ‘die funktionelle Betrachtung—die man auch die soziale, aber am wichtigsten die juristische nennen konnte . . .’ (the functional analysis—which could also be called social, but most importantly juristic..).</w:t>
      </w:r>
    </w:p>
  </w:footnote>
  <w:footnote w:id="120">
    <w:p w:rsidR="007479CF" w:rsidRDefault="00CD28B5">
      <w:pPr>
        <w:pStyle w:val="footnotedescription"/>
        <w:spacing w:line="259" w:lineRule="auto"/>
        <w:ind w:left="175" w:firstLine="0"/>
        <w:jc w:val="left"/>
      </w:pPr>
      <w:r>
        <w:rPr>
          <w:rStyle w:val="footnotemark"/>
        </w:rPr>
        <w:footnoteRef/>
      </w:r>
      <w:r>
        <w:t xml:space="preserve"> Tushnet, </w:t>
      </w:r>
      <w:r>
        <w:rPr>
          <w:rFonts w:ascii="Calibri" w:eastAsia="Calibri" w:hAnsi="Calibri" w:cs="Calibri"/>
        </w:rPr>
        <w:t></w:t>
      </w:r>
      <w:r>
        <w:t xml:space="preserve"> </w:t>
      </w:r>
      <w:r>
        <w:rPr>
          <w:i/>
        </w:rPr>
        <w:t>Yale LJ</w:t>
      </w:r>
      <w:r>
        <w:t xml:space="preserve"> </w:t>
      </w:r>
      <w:r>
        <w:rPr>
          <w:rFonts w:ascii="Calibri" w:eastAsia="Calibri" w:hAnsi="Calibri" w:cs="Calibri"/>
        </w:rPr>
        <w:t></w:t>
      </w:r>
      <w:r>
        <w:t>.</w:t>
      </w:r>
    </w:p>
  </w:footnote>
  <w:footnote w:id="121">
    <w:p w:rsidR="007479CF" w:rsidRDefault="00CD28B5">
      <w:pPr>
        <w:pStyle w:val="footnotedescription"/>
        <w:spacing w:line="247" w:lineRule="auto"/>
        <w:ind w:right="5"/>
      </w:pPr>
      <w:r>
        <w:rPr>
          <w:rStyle w:val="footnotemark"/>
        </w:rPr>
        <w:footnoteRef/>
      </w:r>
      <w:r>
        <w:t xml:space="preserve"> eg D. F. Aberle, A. K. Cohen, A. K. Davis, M. J. Levy, Jr, and F. X. Sutton, ‘The Functional Prerequisites of a Society’, (</w:t>
      </w:r>
      <w:r>
        <w:rPr>
          <w:rFonts w:ascii="Calibri" w:eastAsia="Calibri" w:hAnsi="Calibri" w:cs="Calibri"/>
        </w:rPr>
        <w:t></w:t>
      </w:r>
      <w:r>
        <w:t xml:space="preserve">) </w:t>
      </w:r>
      <w:r>
        <w:rPr>
          <w:rFonts w:ascii="Calibri" w:eastAsia="Calibri" w:hAnsi="Calibri" w:cs="Calibri"/>
        </w:rPr>
        <w:t></w:t>
      </w:r>
      <w:r>
        <w:t xml:space="preserve"> </w:t>
      </w:r>
      <w:r>
        <w:rPr>
          <w:i/>
        </w:rPr>
        <w:t>Ethics</w:t>
      </w:r>
      <w:r>
        <w:t xml:space="preserve"> </w:t>
      </w:r>
      <w:r>
        <w:rPr>
          <w:rFonts w:ascii="Calibri" w:eastAsia="Calibri" w:hAnsi="Calibri" w:cs="Calibri"/>
        </w:rPr>
        <w:t></w:t>
      </w:r>
      <w:r>
        <w:t>–</w:t>
      </w:r>
      <w:r>
        <w:rPr>
          <w:rFonts w:ascii="Calibri" w:eastAsia="Calibri" w:hAnsi="Calibri" w:cs="Calibri"/>
        </w:rPr>
        <w:t></w:t>
      </w:r>
      <w:r>
        <w:t xml:space="preserve">; reprinted in Demerath and Peterson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cf Marion Levy, </w:t>
      </w:r>
      <w:r>
        <w:rPr>
          <w:i/>
        </w:rPr>
        <w:t>The Structure of Society</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122">
    <w:p w:rsidR="007479CF" w:rsidRDefault="00CD28B5">
      <w:pPr>
        <w:pStyle w:val="footnotedescription"/>
        <w:spacing w:after="2" w:line="259" w:lineRule="auto"/>
        <w:ind w:left="175" w:firstLine="0"/>
        <w:jc w:val="left"/>
      </w:pPr>
      <w:r>
        <w:rPr>
          <w:rStyle w:val="footnotemark"/>
        </w:rPr>
        <w:footnoteRef/>
      </w:r>
      <w:r>
        <w:t xml:space="preserve"> Goldschmidt (n </w:t>
      </w:r>
      <w:r>
        <w:rPr>
          <w:rFonts w:ascii="Calibri" w:eastAsia="Calibri" w:hAnsi="Calibri" w:cs="Calibri"/>
        </w:rPr>
        <w:t></w:t>
      </w:r>
      <w:r>
        <w:t xml:space="preserve">), </w:t>
      </w:r>
      <w:r>
        <w:rPr>
          <w:rFonts w:ascii="Calibri" w:eastAsia="Calibri" w:hAnsi="Calibri" w:cs="Calibri"/>
        </w:rPr>
        <w:t> ff</w:t>
      </w:r>
      <w:r>
        <w:t>.</w:t>
      </w:r>
    </w:p>
  </w:footnote>
  <w:footnote w:id="123">
    <w:p w:rsidR="007479CF" w:rsidRDefault="00CD28B5">
      <w:pPr>
        <w:pStyle w:val="footnotedescription"/>
        <w:spacing w:line="243" w:lineRule="auto"/>
        <w:ind w:right="2"/>
      </w:pPr>
      <w:r>
        <w:rPr>
          <w:rStyle w:val="footnotemark"/>
        </w:rPr>
        <w:footnoteRef/>
      </w:r>
      <w:r>
        <w:t xml:space="preserve"> Nils Jansen, </w:t>
      </w:r>
      <w:r>
        <w:rPr>
          <w:i/>
        </w:rPr>
        <w:t>Binnenmarkt, Privatrecht und europäische Identität</w:t>
      </w:r>
      <w:r>
        <w:t xml:space="preserve"> (</w:t>
      </w:r>
      <w:r>
        <w:rPr>
          <w:rFonts w:ascii="Calibri" w:eastAsia="Calibri" w:hAnsi="Calibri" w:cs="Calibri"/>
        </w:rPr>
        <w:t></w:t>
      </w:r>
      <w:r>
        <w:t xml:space="preserve">), </w:t>
      </w:r>
      <w:r>
        <w:rPr>
          <w:rFonts w:ascii="Calibri" w:eastAsia="Calibri" w:hAnsi="Calibri" w:cs="Calibri"/>
        </w:rPr>
        <w:t> ff</w:t>
      </w:r>
      <w:r>
        <w:t>. For another example, see Iain D.C. Ramsay, ‘Functionalism and Political Economy in the Comparative Study of Consumer Insolvency: An un</w:t>
      </w:r>
      <w:r>
        <w:rPr>
          <w:rFonts w:ascii="Calibri" w:eastAsia="Calibri" w:hAnsi="Calibri" w:cs="Calibri"/>
        </w:rPr>
        <w:t>fi</w:t>
      </w:r>
      <w:r>
        <w:t>nished st</w:t>
      </w:r>
      <w:r>
        <w:t>ory from England and Wales’ (</w:t>
      </w:r>
      <w:r>
        <w:rPr>
          <w:rFonts w:ascii="Calibri" w:eastAsia="Calibri" w:hAnsi="Calibri" w:cs="Calibri"/>
        </w:rPr>
        <w:t></w:t>
      </w:r>
      <w:r>
        <w:t xml:space="preserve">) </w:t>
      </w:r>
      <w:r>
        <w:rPr>
          <w:rFonts w:ascii="Calibri" w:eastAsia="Calibri" w:hAnsi="Calibri" w:cs="Calibri"/>
        </w:rPr>
        <w:t></w:t>
      </w:r>
      <w:r>
        <w:t xml:space="preserve"> </w:t>
      </w:r>
      <w:r>
        <w:rPr>
          <w:i/>
        </w:rPr>
        <w:t>Theoretical Inquiries in Law</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ff</w:t>
      </w:r>
      <w:r>
        <w:t>.</w:t>
      </w:r>
    </w:p>
  </w:footnote>
  <w:footnote w:id="124">
    <w:p w:rsidR="007479CF" w:rsidRDefault="00CD28B5">
      <w:pPr>
        <w:pStyle w:val="footnotedescription"/>
        <w:spacing w:after="5" w:line="259" w:lineRule="auto"/>
        <w:ind w:left="175" w:firstLine="0"/>
        <w:jc w:val="left"/>
      </w:pPr>
      <w:r>
        <w:rPr>
          <w:rStyle w:val="footnotemark"/>
        </w:rPr>
        <w:footnoteRef/>
      </w:r>
      <w:r>
        <w:t xml:space="preserve"> See eg Zweigert (n </w:t>
      </w:r>
      <w:r>
        <w:rPr>
          <w:rFonts w:ascii="Calibri" w:eastAsia="Calibri" w:hAnsi="Calibri" w:cs="Calibri"/>
        </w:rPr>
        <w:t></w:t>
      </w:r>
      <w:r>
        <w:t xml:space="preserve">), </w:t>
      </w:r>
      <w:r>
        <w:rPr>
          <w:rFonts w:ascii="Calibri" w:eastAsia="Calibri" w:hAnsi="Calibri" w:cs="Calibri"/>
        </w:rPr>
        <w:t></w:t>
      </w:r>
      <w:r>
        <w:t>.</w:t>
      </w:r>
    </w:p>
  </w:footnote>
  <w:footnote w:id="125">
    <w:p w:rsidR="007479CF" w:rsidRDefault="00CD28B5">
      <w:pPr>
        <w:pStyle w:val="footnotedescription"/>
        <w:spacing w:line="269" w:lineRule="auto"/>
      </w:pPr>
      <w:r>
        <w:rPr>
          <w:rStyle w:val="footnotemark"/>
        </w:rPr>
        <w:footnoteRef/>
      </w:r>
      <w:r>
        <w:t xml:space="preserve"> See the examples given by Graziadei (n </w:t>
      </w:r>
      <w:r>
        <w:rPr>
          <w:rFonts w:ascii="Calibri" w:eastAsia="Calibri" w:hAnsi="Calibri" w:cs="Calibri"/>
        </w:rPr>
        <w:t></w:t>
      </w:r>
      <w:r>
        <w:t xml:space="preserve">), </w:t>
      </w:r>
      <w:r>
        <w:rPr>
          <w:rFonts w:ascii="Calibri" w:eastAsia="Calibri" w:hAnsi="Calibri" w:cs="Calibri"/>
        </w:rPr>
        <w:t xml:space="preserve"> </w:t>
      </w:r>
      <w:r>
        <w:t xml:space="preserve">f; cf also the criticism by Frankenberg, </w:t>
      </w:r>
      <w:r>
        <w:rPr>
          <w:rFonts w:ascii="Calibri" w:eastAsia="Calibri" w:hAnsi="Calibri" w:cs="Calibri"/>
        </w:rPr>
        <w:t xml:space="preserve"> </w:t>
      </w:r>
      <w:r>
        <w:rPr>
          <w:i/>
        </w:rPr>
        <w:t>Harvard International LJ</w:t>
      </w:r>
      <w:r>
        <w:t xml:space="preserve"> </w:t>
      </w:r>
      <w:r>
        <w:rPr>
          <w:rFonts w:ascii="Calibri" w:eastAsia="Calibri" w:hAnsi="Calibri" w:cs="Calibri"/>
        </w:rPr>
        <w:t xml:space="preserve"> </w:t>
      </w:r>
      <w:r>
        <w:t xml:space="preserve">f; Constantinesco (n </w:t>
      </w:r>
      <w:r>
        <w:rPr>
          <w:rFonts w:ascii="Calibri" w:eastAsia="Calibri" w:hAnsi="Calibri" w:cs="Calibri"/>
        </w:rPr>
        <w:t></w:t>
      </w:r>
      <w:r>
        <w:t xml:space="preserve">), n </w:t>
      </w:r>
      <w:r>
        <w:rPr>
          <w:rFonts w:ascii="Calibri" w:eastAsia="Calibri" w:hAnsi="Calibri" w:cs="Calibri"/>
        </w:rPr>
        <w:t></w:t>
      </w:r>
      <w:r>
        <w:t>.</w:t>
      </w:r>
    </w:p>
  </w:footnote>
  <w:footnote w:id="126">
    <w:p w:rsidR="007479CF" w:rsidRDefault="00CD28B5">
      <w:pPr>
        <w:pStyle w:val="footnotedescription"/>
        <w:spacing w:line="244" w:lineRule="auto"/>
        <w:ind w:right="2"/>
      </w:pPr>
      <w:r>
        <w:rPr>
          <w:rStyle w:val="footnotemark"/>
        </w:rPr>
        <w:footnoteRef/>
      </w:r>
      <w:r>
        <w:t xml:space="preserve"> Wilbert E. Moore and Joyce Sterling, ‘The Comparison of Legal Systems: A Critique’, (</w:t>
      </w:r>
      <w:r>
        <w:rPr>
          <w:rFonts w:ascii="Calibri" w:eastAsia="Calibri" w:hAnsi="Calibri" w:cs="Calibri"/>
        </w:rPr>
        <w:t></w:t>
      </w:r>
      <w:r>
        <w:t xml:space="preserve">) </w:t>
      </w:r>
      <w:r>
        <w:rPr>
          <w:rFonts w:ascii="Calibri" w:eastAsia="Calibri" w:hAnsi="Calibri" w:cs="Calibri"/>
        </w:rPr>
        <w:t></w:t>
      </w:r>
      <w:r>
        <w:t xml:space="preserve"> </w:t>
      </w:r>
      <w:r>
        <w:rPr>
          <w:i/>
        </w:rPr>
        <w:t xml:space="preserve">Quaderni </w:t>
      </w:r>
      <w:r>
        <w:rPr>
          <w:rFonts w:ascii="Calibri" w:eastAsia="Calibri" w:hAnsi="Calibri" w:cs="Calibri"/>
          <w:i/>
        </w:rPr>
        <w:t>fi</w:t>
      </w:r>
      <w:r>
        <w:rPr>
          <w:i/>
        </w:rPr>
        <w:t>orentini per la storia del pensiero giuridico</w:t>
      </w:r>
      <w:r>
        <w:t xml:space="preserve"> </w:t>
      </w:r>
      <w:r>
        <w:rPr>
          <w:rFonts w:ascii="Calibri" w:eastAsia="Calibri" w:hAnsi="Calibri" w:cs="Calibri"/>
        </w:rPr>
        <w:t></w:t>
      </w:r>
      <w:r>
        <w:t xml:space="preserve">, </w:t>
      </w:r>
      <w:r>
        <w:rPr>
          <w:rFonts w:ascii="Calibri" w:eastAsia="Calibri" w:hAnsi="Calibri" w:cs="Calibri"/>
        </w:rPr>
        <w:t></w:t>
      </w:r>
      <w:r>
        <w:t xml:space="preserve">; cf Goldschmidt (n </w:t>
      </w:r>
      <w:r>
        <w:rPr>
          <w:rFonts w:ascii="Calibri" w:eastAsia="Calibri" w:hAnsi="Calibri" w:cs="Calibri"/>
        </w:rPr>
        <w:t></w:t>
      </w:r>
      <w:r>
        <w:t xml:space="preserve">), </w:t>
      </w:r>
      <w:r>
        <w:rPr>
          <w:rFonts w:ascii="Calibri" w:eastAsia="Calibri" w:hAnsi="Calibri" w:cs="Calibri"/>
        </w:rPr>
        <w:t> ff</w:t>
      </w:r>
      <w:r>
        <w:t xml:space="preserve">. </w:t>
      </w:r>
      <w:r>
        <w:rPr>
          <w:b/>
          <w:vertAlign w:val="superscript"/>
        </w:rPr>
        <w:t xml:space="preserve">157 </w:t>
      </w:r>
      <w:r>
        <w:t xml:space="preserve">Goldschmidt (n </w:t>
      </w:r>
      <w:r>
        <w:rPr>
          <w:rFonts w:ascii="Calibri" w:eastAsia="Calibri" w:hAnsi="Calibri" w:cs="Calibri"/>
        </w:rPr>
        <w:t></w:t>
      </w:r>
      <w:r>
        <w:t xml:space="preserve">), </w:t>
      </w:r>
      <w:r>
        <w:rPr>
          <w:rFonts w:ascii="Calibri" w:eastAsia="Calibri" w:hAnsi="Calibri" w:cs="Calibri"/>
        </w:rPr>
        <w:t> ff</w:t>
      </w:r>
      <w:r>
        <w:t>.</w:t>
      </w:r>
    </w:p>
  </w:footnote>
  <w:footnote w:id="127">
    <w:p w:rsidR="007479CF" w:rsidRDefault="00CD28B5">
      <w:pPr>
        <w:pStyle w:val="footnotedescription"/>
        <w:tabs>
          <w:tab w:val="center" w:pos="978"/>
          <w:tab w:val="center" w:pos="4268"/>
        </w:tabs>
        <w:spacing w:line="259" w:lineRule="auto"/>
        <w:ind w:firstLine="0"/>
        <w:jc w:val="left"/>
      </w:pPr>
      <w:r>
        <w:rPr>
          <w:rStyle w:val="footnotemark"/>
        </w:rPr>
        <w:footnoteRef/>
      </w:r>
      <w:r>
        <w:t xml:space="preserve"> See above, pp </w:t>
      </w:r>
      <w:r>
        <w:rPr>
          <w:rFonts w:ascii="Calibri" w:eastAsia="Calibri" w:hAnsi="Calibri" w:cs="Calibri"/>
        </w:rPr>
        <w:t></w:t>
      </w:r>
      <w:r>
        <w:t xml:space="preserve"> f.</w:t>
      </w:r>
      <w:r>
        <w:tab/>
      </w:r>
      <w:r>
        <w:rPr>
          <w:b/>
          <w:vertAlign w:val="superscript"/>
        </w:rPr>
        <w:t xml:space="preserve">159 </w:t>
      </w:r>
      <w:r>
        <w:t xml:space="preserve">cf Zacher (n </w:t>
      </w:r>
      <w:r>
        <w:rPr>
          <w:rFonts w:ascii="Calibri" w:eastAsia="Calibri" w:hAnsi="Calibri" w:cs="Calibri"/>
        </w:rPr>
        <w:t></w:t>
      </w:r>
      <w:r>
        <w:t xml:space="preserve">), </w:t>
      </w:r>
      <w:r>
        <w:rPr>
          <w:rFonts w:ascii="Calibri" w:eastAsia="Calibri" w:hAnsi="Calibri" w:cs="Calibri"/>
        </w:rPr>
        <w:t xml:space="preserve"> </w:t>
      </w:r>
      <w:r>
        <w:t xml:space="preserve">f; Ruskola, </w:t>
      </w:r>
      <w:r>
        <w:rPr>
          <w:rFonts w:ascii="Calibri" w:eastAsia="Calibri" w:hAnsi="Calibri" w:cs="Calibri"/>
        </w:rPr>
        <w:t></w:t>
      </w:r>
      <w:r>
        <w:t xml:space="preserve"> </w:t>
      </w:r>
      <w:r>
        <w:rPr>
          <w:i/>
        </w:rPr>
        <w:t>Michigan LR</w:t>
      </w:r>
      <w:r>
        <w:t xml:space="preserve"> </w:t>
      </w:r>
      <w:r>
        <w:rPr>
          <w:rFonts w:ascii="Calibri" w:eastAsia="Calibri" w:hAnsi="Calibri" w:cs="Calibri"/>
        </w:rPr>
        <w:t xml:space="preserve"> </w:t>
      </w:r>
      <w:r>
        <w:t>f.</w:t>
      </w:r>
    </w:p>
  </w:footnote>
  <w:footnote w:id="128">
    <w:p w:rsidR="007479CF" w:rsidRDefault="00CD28B5">
      <w:pPr>
        <w:pStyle w:val="footnotedescription"/>
        <w:spacing w:line="263" w:lineRule="auto"/>
        <w:ind w:right="6"/>
      </w:pPr>
      <w:r>
        <w:rPr>
          <w:rStyle w:val="footnotemark"/>
        </w:rPr>
        <w:footnoteRef/>
      </w:r>
      <w:r>
        <w:t xml:space="preserve"> Zweigert and Kötz (n </w:t>
      </w:r>
      <w:r>
        <w:rPr>
          <w:rFonts w:ascii="Calibri" w:eastAsia="Calibri" w:hAnsi="Calibri" w:cs="Calibri"/>
        </w:rPr>
        <w:t></w:t>
      </w:r>
      <w:r>
        <w:t xml:space="preserve">), </w:t>
      </w:r>
      <w:r>
        <w:rPr>
          <w:rFonts w:ascii="Calibri" w:eastAsia="Calibri" w:hAnsi="Calibri" w:cs="Calibri"/>
        </w:rPr>
        <w:t></w:t>
      </w:r>
      <w:r>
        <w:t xml:space="preserve">; for an earlier version see already Zweigert, ‘Praesumptio Similitudinis’ (n </w:t>
      </w:r>
      <w:r>
        <w:rPr>
          <w:rFonts w:ascii="Calibri" w:eastAsia="Calibri" w:hAnsi="Calibri" w:cs="Calibri"/>
        </w:rPr>
        <w:t></w:t>
      </w:r>
      <w:r>
        <w:t xml:space="preserve">) </w:t>
      </w:r>
      <w:r>
        <w:rPr>
          <w:rFonts w:ascii="Calibri" w:eastAsia="Calibri" w:hAnsi="Calibri" w:cs="Calibri"/>
        </w:rPr>
        <w:t></w:t>
      </w:r>
      <w:r>
        <w:t xml:space="preserve"> f. Zweigert </w:t>
      </w:r>
      <w:r>
        <w:rPr>
          <w:rFonts w:ascii="Calibri" w:eastAsia="Calibri" w:hAnsi="Calibri" w:cs="Calibri"/>
        </w:rPr>
        <w:t>fi</w:t>
      </w:r>
      <w:r>
        <w:t xml:space="preserve">rst mentioned the </w:t>
      </w:r>
      <w:r>
        <w:rPr>
          <w:i/>
        </w:rPr>
        <w:t>praesumptio</w:t>
      </w:r>
      <w:r>
        <w:t xml:space="preserve"> in ‘</w:t>
      </w:r>
      <w:r>
        <w:t xml:space="preserve">Méthodologie’ (n </w:t>
      </w:r>
      <w:r>
        <w:rPr>
          <w:rFonts w:ascii="Calibri" w:eastAsia="Calibri" w:hAnsi="Calibri" w:cs="Calibri"/>
        </w:rPr>
        <w:t></w:t>
      </w:r>
      <w:r>
        <w:t xml:space="preserve">), </w:t>
      </w:r>
      <w:r>
        <w:rPr>
          <w:rFonts w:ascii="Calibri" w:eastAsia="Calibri" w:hAnsi="Calibri" w:cs="Calibri"/>
        </w:rPr>
        <w:t></w:t>
      </w:r>
      <w:r>
        <w:t xml:space="preserve"> </w:t>
      </w:r>
      <w:r>
        <w:rPr>
          <w:rFonts w:ascii="Segoe UI Symbol" w:eastAsia="Segoe UI Symbol" w:hAnsi="Segoe UI Symbol" w:cs="Segoe UI Symbol"/>
        </w:rPr>
        <w:t xml:space="preserve">= </w:t>
      </w:r>
      <w:r>
        <w:t xml:space="preserve">‘Zur Methode’ (n </w:t>
      </w:r>
      <w:r>
        <w:rPr>
          <w:rFonts w:ascii="Calibri" w:eastAsia="Calibri" w:hAnsi="Calibri" w:cs="Calibri"/>
        </w:rPr>
        <w:t></w:t>
      </w:r>
      <w:r>
        <w:t xml:space="preserve">), </w:t>
      </w:r>
      <w:r>
        <w:rPr>
          <w:rFonts w:ascii="Calibri" w:eastAsia="Calibri" w:hAnsi="Calibri" w:cs="Calibri"/>
        </w:rPr>
        <w:t></w:t>
      </w:r>
      <w:r>
        <w:t>.</w:t>
      </w:r>
    </w:p>
  </w:footnote>
  <w:footnote w:id="129">
    <w:p w:rsidR="007479CF" w:rsidRDefault="00CD28B5">
      <w:pPr>
        <w:pStyle w:val="footnotedescription"/>
        <w:spacing w:line="259" w:lineRule="auto"/>
        <w:ind w:left="175" w:firstLine="0"/>
        <w:jc w:val="left"/>
      </w:pPr>
      <w:r>
        <w:rPr>
          <w:rStyle w:val="footnotemark"/>
        </w:rPr>
        <w:footnoteRef/>
      </w:r>
      <w:r>
        <w:t xml:space="preserve"> von Benda-Beckmann, (</w:t>
      </w:r>
      <w:r>
        <w:rPr>
          <w:rFonts w:ascii="Calibri" w:eastAsia="Calibri" w:hAnsi="Calibri" w:cs="Calibri"/>
        </w:rPr>
        <w:t></w:t>
      </w:r>
      <w:r>
        <w:t xml:space="preserve">) </w:t>
      </w:r>
      <w:r>
        <w:rPr>
          <w:rFonts w:ascii="Calibri" w:eastAsia="Calibri" w:hAnsi="Calibri" w:cs="Calibri"/>
        </w:rPr>
        <w:t></w:t>
      </w:r>
      <w:r>
        <w:t xml:space="preserve"> </w:t>
      </w:r>
      <w:r>
        <w:rPr>
          <w:i/>
        </w:rPr>
        <w:t>Zeitschrift für vergleichende Rechtswissenschaft</w:t>
      </w:r>
      <w:r>
        <w:t xml:space="preserve"> </w:t>
      </w:r>
      <w:r>
        <w:rPr>
          <w:rFonts w:ascii="Calibri" w:eastAsia="Calibri" w:hAnsi="Calibri" w:cs="Calibri"/>
        </w:rPr>
        <w:t></w:t>
      </w:r>
      <w:r>
        <w:t>.</w:t>
      </w:r>
    </w:p>
  </w:footnote>
  <w:footnote w:id="130">
    <w:p w:rsidR="007479CF" w:rsidRDefault="00CD28B5">
      <w:pPr>
        <w:pStyle w:val="footnotedescription"/>
        <w:spacing w:after="1" w:line="242" w:lineRule="auto"/>
      </w:pPr>
      <w:r>
        <w:rPr>
          <w:rStyle w:val="footnotemark"/>
        </w:rPr>
        <w:footnoteRef/>
      </w:r>
      <w:r>
        <w:t xml:space="preserve"> Curran, </w:t>
      </w:r>
      <w:r>
        <w:rPr>
          <w:rFonts w:ascii="Calibri" w:eastAsia="Calibri" w:hAnsi="Calibri" w:cs="Calibri"/>
        </w:rPr>
        <w:t></w:t>
      </w:r>
      <w:r>
        <w:t xml:space="preserve"> </w:t>
      </w:r>
      <w:r>
        <w:rPr>
          <w:i/>
        </w:rPr>
        <w:t>AJCL</w:t>
      </w:r>
      <w:r>
        <w:t xml:space="preserve"> </w:t>
      </w:r>
      <w:r>
        <w:rPr>
          <w:rFonts w:ascii="Calibri" w:eastAsia="Calibri" w:hAnsi="Calibri" w:cs="Calibri"/>
        </w:rPr>
        <w:t></w:t>
      </w:r>
      <w:r>
        <w:t xml:space="preserve">; Pierre Legrand, </w:t>
      </w:r>
      <w:r>
        <w:rPr>
          <w:i/>
        </w:rPr>
        <w:t>Le droit comparé</w:t>
      </w:r>
      <w:r>
        <w:t xml:space="preserve"> (</w:t>
      </w:r>
      <w:r>
        <w:rPr>
          <w:rFonts w:ascii="Calibri" w:eastAsia="Calibri" w:hAnsi="Calibri" w:cs="Calibri"/>
        </w:rPr>
        <w:t></w:t>
      </w:r>
      <w:r>
        <w:t xml:space="preserve">), </w:t>
      </w:r>
      <w:r>
        <w:rPr>
          <w:rFonts w:ascii="Calibri" w:eastAsia="Calibri" w:hAnsi="Calibri" w:cs="Calibri"/>
        </w:rPr>
        <w:t></w:t>
      </w:r>
      <w:r>
        <w:t>: ‘</w:t>
      </w:r>
      <w:r>
        <w:rPr>
          <w:i/>
        </w:rPr>
        <w:t>principium individuationis</w:t>
      </w:r>
      <w:r>
        <w:t xml:space="preserve">’; Hyland (n </w:t>
      </w:r>
      <w:r>
        <w:rPr>
          <w:rFonts w:ascii="Calibri" w:eastAsia="Calibri" w:hAnsi="Calibri" w:cs="Calibri"/>
        </w:rPr>
        <w:t></w:t>
      </w:r>
      <w:r>
        <w:t xml:space="preserve">), </w:t>
      </w:r>
      <w:r>
        <w:rPr>
          <w:rFonts w:ascii="Calibri" w:eastAsia="Calibri" w:hAnsi="Calibri" w:cs="Calibri"/>
        </w:rPr>
        <w:t></w:t>
      </w:r>
      <w:r>
        <w:t>:</w:t>
      </w:r>
      <w:r>
        <w:t xml:space="preserve"> ‘</w:t>
      </w:r>
      <w:r>
        <w:rPr>
          <w:i/>
        </w:rPr>
        <w:t>coniectura dissimilitudinis</w:t>
      </w:r>
      <w:r>
        <w:t>’.</w:t>
      </w:r>
    </w:p>
  </w:footnote>
  <w:footnote w:id="131">
    <w:p w:rsidR="007479CF" w:rsidRDefault="00CD28B5">
      <w:pPr>
        <w:pStyle w:val="footnotedescription"/>
        <w:spacing w:after="11" w:line="242" w:lineRule="auto"/>
        <w:ind w:right="5"/>
      </w:pPr>
      <w:r>
        <w:rPr>
          <w:rStyle w:val="footnotemark"/>
        </w:rPr>
        <w:footnoteRef/>
      </w:r>
      <w:r>
        <w:t xml:space="preserve"> Geertz, ‘Local Knowledge’ (n </w:t>
      </w:r>
      <w:r>
        <w:rPr>
          <w:rFonts w:ascii="Calibri" w:eastAsia="Calibri" w:hAnsi="Calibri" w:cs="Calibri"/>
        </w:rPr>
        <w:t></w:t>
      </w:r>
      <w:r>
        <w:t xml:space="preserve">); Volkmar Gessner, ‘Praesumptio similitudinis?—A Critique of Comparative Law’, in </w:t>
      </w:r>
      <w:r>
        <w:rPr>
          <w:rFonts w:ascii="Calibri" w:eastAsia="Calibri" w:hAnsi="Calibri" w:cs="Calibri"/>
          <w:i/>
        </w:rPr>
        <w:t></w:t>
      </w:r>
      <w:r>
        <w:rPr>
          <w:i/>
        </w:rPr>
        <w:t xml:space="preserve"> Annual Meeting of the ISA Research Committee on Sociology of Law ‘</w:t>
      </w:r>
      <w:r>
        <w:rPr>
          <w:i/>
        </w:rPr>
        <w:t xml:space="preserve">Legal Culture: Encounters and Transformations’, Section Meetings, August </w:t>
      </w:r>
      <w:r>
        <w:rPr>
          <w:rFonts w:ascii="Calibri" w:eastAsia="Calibri" w:hAnsi="Calibri" w:cs="Calibri"/>
          <w:i/>
        </w:rPr>
        <w:t></w:t>
      </w:r>
      <w:r>
        <w:rPr>
          <w:i/>
        </w:rPr>
        <w:t>–</w:t>
      </w:r>
      <w:r>
        <w:rPr>
          <w:rFonts w:ascii="Calibri" w:eastAsia="Calibri" w:hAnsi="Calibri" w:cs="Calibri"/>
          <w:i/>
        </w:rPr>
        <w:t></w:t>
      </w:r>
      <w:r>
        <w:rPr>
          <w:i/>
        </w:rPr>
        <w:t xml:space="preserve">, </w:t>
      </w:r>
      <w:r>
        <w:rPr>
          <w:rFonts w:ascii="Calibri" w:eastAsia="Calibri" w:hAnsi="Calibri" w:cs="Calibri"/>
          <w:i/>
        </w:rPr>
        <w:t></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xml:space="preserve">: ‘the </w:t>
      </w:r>
      <w:r>
        <w:rPr>
          <w:i/>
        </w:rPr>
        <w:t>praesumptio similitudinis</w:t>
      </w:r>
      <w:r>
        <w:t xml:space="preserve"> is nothing but a consequence of poor data collection in comparative legal studies’; see already </w:t>
      </w:r>
      <w:r>
        <w:rPr>
          <w:i/>
        </w:rPr>
        <w:t>idem</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w:t>
      </w:r>
    </w:p>
  </w:footnote>
  <w:footnote w:id="132">
    <w:p w:rsidR="007479CF" w:rsidRDefault="00CD28B5">
      <w:pPr>
        <w:pStyle w:val="footnotedescription"/>
        <w:spacing w:after="6" w:line="242" w:lineRule="auto"/>
      </w:pPr>
      <w:r>
        <w:rPr>
          <w:rStyle w:val="footnotemark"/>
        </w:rPr>
        <w:footnoteRef/>
      </w:r>
      <w:r>
        <w:t xml:space="preserve"> See eg</w:t>
      </w:r>
      <w:r>
        <w:t xml:space="preserve"> Ancel, </w:t>
      </w:r>
      <w:r>
        <w:rPr>
          <w:i/>
        </w:rPr>
        <w:t>Utilité</w:t>
      </w:r>
      <w:r>
        <w:t xml:space="preserve"> (n </w:t>
      </w:r>
      <w:r>
        <w:rPr>
          <w:rFonts w:ascii="Calibri" w:eastAsia="Calibri" w:hAnsi="Calibri" w:cs="Calibri"/>
        </w:rPr>
        <w:t></w:t>
      </w:r>
      <w:r>
        <w:t xml:space="preserve">), </w:t>
      </w:r>
      <w:r>
        <w:rPr>
          <w:rFonts w:ascii="Calibri" w:eastAsia="Calibri" w:hAnsi="Calibri" w:cs="Calibri"/>
        </w:rPr>
        <w:t> ff</w:t>
      </w:r>
      <w:r>
        <w:t xml:space="preserve">; de Cruz (n </w:t>
      </w:r>
      <w:r>
        <w:rPr>
          <w:rFonts w:ascii="Calibri" w:eastAsia="Calibri" w:hAnsi="Calibri" w:cs="Calibri"/>
        </w:rPr>
        <w:t></w:t>
      </w:r>
      <w:r>
        <w:t xml:space="preserve">), </w:t>
      </w:r>
      <w:r>
        <w:rPr>
          <w:rFonts w:ascii="Calibri" w:eastAsia="Calibri" w:hAnsi="Calibri" w:cs="Calibri"/>
        </w:rPr>
        <w:t></w:t>
      </w:r>
      <w:r>
        <w:t xml:space="preserve">; Husa, </w:t>
      </w:r>
      <w:r>
        <w:rPr>
          <w:rFonts w:ascii="Calibri" w:eastAsia="Calibri" w:hAnsi="Calibri" w:cs="Calibri"/>
        </w:rPr>
        <w:t></w:t>
      </w:r>
      <w:r>
        <w:t xml:space="preserve"> </w:t>
      </w:r>
      <w:r>
        <w:rPr>
          <w:i/>
        </w:rPr>
        <w:t>RabelsZ</w:t>
      </w:r>
      <w:r>
        <w:t xml:space="preserve"> </w:t>
      </w:r>
      <w:r>
        <w:rPr>
          <w:rFonts w:ascii="Calibri" w:eastAsia="Calibri" w:hAnsi="Calibri" w:cs="Calibri"/>
        </w:rPr>
        <w:t xml:space="preserve"> </w:t>
      </w:r>
      <w:r>
        <w:t xml:space="preserve">f, </w:t>
      </w:r>
      <w:r>
        <w:rPr>
          <w:rFonts w:ascii="Calibri" w:eastAsia="Calibri" w:hAnsi="Calibri" w:cs="Calibri"/>
        </w:rPr>
        <w:t xml:space="preserve"> </w:t>
      </w:r>
      <w:r>
        <w:t>f; cf Hein Kötz, ‘The Common Core of European Private Law: Presented at the Third General Meeting of the Trento Project’, (</w:t>
      </w:r>
      <w:r>
        <w:rPr>
          <w:rFonts w:ascii="Calibri" w:eastAsia="Calibri" w:hAnsi="Calibri" w:cs="Calibri"/>
        </w:rPr>
        <w:t></w:t>
      </w:r>
      <w:r>
        <w:t xml:space="preserve">) </w:t>
      </w:r>
      <w:r>
        <w:rPr>
          <w:rFonts w:ascii="Calibri" w:eastAsia="Calibri" w:hAnsi="Calibri" w:cs="Calibri"/>
        </w:rPr>
        <w:t></w:t>
      </w:r>
      <w:r>
        <w:t xml:space="preserve"> </w:t>
      </w:r>
      <w:r>
        <w:rPr>
          <w:i/>
        </w:rPr>
        <w:t>Hastings International and Comparative LR</w:t>
      </w:r>
      <w:r>
        <w:t xml:space="preserve"> </w:t>
      </w:r>
      <w:r>
        <w:rPr>
          <w:rFonts w:ascii="Calibri" w:eastAsia="Calibri" w:hAnsi="Calibri" w:cs="Calibri"/>
        </w:rPr>
        <w:t></w:t>
      </w:r>
      <w:r>
        <w:t>,</w:t>
      </w:r>
      <w:r>
        <w:t xml:space="preserve"> </w:t>
      </w:r>
      <w:r>
        <w:rPr>
          <w:rFonts w:ascii="Calibri" w:eastAsia="Calibri" w:hAnsi="Calibri" w:cs="Calibri"/>
        </w:rPr>
        <w:t></w:t>
      </w:r>
      <w:r>
        <w:t>, slightly revised from (</w:t>
      </w:r>
      <w:r>
        <w:rPr>
          <w:rFonts w:ascii="Calibri" w:eastAsia="Calibri" w:hAnsi="Calibri" w:cs="Calibri"/>
        </w:rPr>
        <w:t></w:t>
      </w:r>
      <w:r>
        <w:t xml:space="preserve">) </w:t>
      </w:r>
      <w:r>
        <w:rPr>
          <w:rFonts w:ascii="Calibri" w:eastAsia="Calibri" w:hAnsi="Calibri" w:cs="Calibri"/>
        </w:rPr>
        <w:t></w:t>
      </w:r>
      <w:r>
        <w:t xml:space="preserve"> </w:t>
      </w:r>
      <w:r>
        <w:rPr>
          <w:i/>
        </w:rPr>
        <w:t>ERPL</w:t>
      </w:r>
      <w:r>
        <w:t xml:space="preserve"> </w:t>
      </w:r>
      <w:r>
        <w:rPr>
          <w:rFonts w:ascii="Calibri" w:eastAsia="Calibri" w:hAnsi="Calibri" w:cs="Calibri"/>
        </w:rPr>
        <w:t></w:t>
      </w:r>
      <w:r>
        <w:t xml:space="preserve">, </w:t>
      </w:r>
      <w:r>
        <w:rPr>
          <w:rFonts w:ascii="Calibri" w:eastAsia="Calibri" w:hAnsi="Calibri" w:cs="Calibri"/>
        </w:rPr>
        <w:t></w:t>
      </w:r>
      <w:r>
        <w:t xml:space="preserve">: ‘must be rebutted when there is evidence for doing so’; see also Ruskola, </w:t>
      </w:r>
      <w:r>
        <w:rPr>
          <w:rFonts w:ascii="Calibri" w:eastAsia="Calibri" w:hAnsi="Calibri" w:cs="Calibri"/>
        </w:rPr>
        <w:t></w:t>
      </w:r>
      <w:r>
        <w:t xml:space="preserve"> Michigan LR </w:t>
      </w:r>
      <w:r>
        <w:rPr>
          <w:rFonts w:ascii="Calibri" w:eastAsia="Calibri" w:hAnsi="Calibri" w:cs="Calibri"/>
        </w:rPr>
        <w:t></w:t>
      </w:r>
      <w:r>
        <w:t>.</w:t>
      </w:r>
    </w:p>
  </w:footnote>
  <w:footnote w:id="133">
    <w:p w:rsidR="007479CF" w:rsidRDefault="00CD28B5">
      <w:pPr>
        <w:pStyle w:val="footnotedescription"/>
        <w:tabs>
          <w:tab w:val="center" w:pos="1092"/>
          <w:tab w:val="center" w:pos="4626"/>
        </w:tabs>
        <w:spacing w:line="259" w:lineRule="auto"/>
        <w:ind w:firstLine="0"/>
        <w:jc w:val="left"/>
      </w:pPr>
      <w:r>
        <w:rPr>
          <w:rStyle w:val="footnotemark"/>
        </w:rPr>
        <w:footnoteRef/>
      </w:r>
      <w:r>
        <w:t xml:space="preserve"> Curran, </w:t>
      </w:r>
      <w:r>
        <w:rPr>
          <w:rFonts w:ascii="Calibri" w:eastAsia="Calibri" w:hAnsi="Calibri" w:cs="Calibri"/>
        </w:rPr>
        <w:t></w:t>
      </w:r>
      <w:r>
        <w:t xml:space="preserve"> </w:t>
      </w:r>
      <w:r>
        <w:rPr>
          <w:i/>
        </w:rPr>
        <w:t>AJCL</w:t>
      </w:r>
      <w:r>
        <w:t xml:space="preserve"> </w:t>
      </w:r>
      <w:r>
        <w:rPr>
          <w:rFonts w:ascii="Calibri" w:eastAsia="Calibri" w:hAnsi="Calibri" w:cs="Calibri"/>
        </w:rPr>
        <w:t> ff</w:t>
      </w:r>
      <w:r>
        <w:t>.</w:t>
      </w:r>
      <w:r>
        <w:tab/>
      </w:r>
      <w:r>
        <w:rPr>
          <w:b/>
          <w:vertAlign w:val="superscript"/>
        </w:rPr>
        <w:t xml:space="preserve">166 </w:t>
      </w:r>
      <w:r>
        <w:t xml:space="preserve">Thus Legrand (n </w:t>
      </w:r>
      <w:r>
        <w:rPr>
          <w:rFonts w:ascii="Calibri" w:eastAsia="Calibri" w:hAnsi="Calibri" w:cs="Calibri"/>
        </w:rPr>
        <w:t></w:t>
      </w:r>
      <w:r>
        <w:t xml:space="preserve">), </w:t>
      </w:r>
      <w:r>
        <w:rPr>
          <w:rFonts w:ascii="Calibri" w:eastAsia="Calibri" w:hAnsi="Calibri" w:cs="Calibri"/>
        </w:rPr>
        <w:t></w:t>
      </w:r>
      <w:r>
        <w:t xml:space="preserve">; see also Husa, </w:t>
      </w:r>
      <w:r>
        <w:rPr>
          <w:rFonts w:ascii="Calibri" w:eastAsia="Calibri" w:hAnsi="Calibri" w:cs="Calibri"/>
        </w:rPr>
        <w:t></w:t>
      </w:r>
      <w:r>
        <w:t xml:space="preserve"> </w:t>
      </w:r>
      <w:r>
        <w:rPr>
          <w:i/>
        </w:rPr>
        <w:t>RabelsZ</w:t>
      </w:r>
      <w:r>
        <w:t xml:space="preserve"> </w:t>
      </w:r>
      <w:r>
        <w:rPr>
          <w:rFonts w:ascii="Calibri" w:eastAsia="Calibri" w:hAnsi="Calibri" w:cs="Calibri"/>
        </w:rPr>
        <w:t xml:space="preserve"> </w:t>
      </w:r>
      <w:r>
        <w:t>f.</w:t>
      </w:r>
    </w:p>
  </w:footnote>
  <w:footnote w:id="134">
    <w:p w:rsidR="007479CF" w:rsidRDefault="00CD28B5">
      <w:pPr>
        <w:pStyle w:val="footnotedescription"/>
        <w:spacing w:line="257" w:lineRule="auto"/>
      </w:pPr>
      <w:r>
        <w:rPr>
          <w:rStyle w:val="footnotemark"/>
        </w:rPr>
        <w:footnoteRef/>
      </w:r>
      <w:r>
        <w:t xml:space="preserve"> </w:t>
      </w:r>
      <w:r>
        <w:t>cf Nathaniel Berman, ‘Aftershocks: Exoticization, Normalization and the Hermeneutic Compulsion’, (</w:t>
      </w:r>
      <w:r>
        <w:rPr>
          <w:rFonts w:ascii="Calibri" w:eastAsia="Calibri" w:hAnsi="Calibri" w:cs="Calibri"/>
        </w:rPr>
        <w:t></w:t>
      </w:r>
      <w:r>
        <w:t xml:space="preserve">) </w:t>
      </w:r>
      <w:r>
        <w:rPr>
          <w:i/>
        </w:rPr>
        <w:t>Utah LR</w:t>
      </w:r>
      <w:r>
        <w:t xml:space="preserve"> </w:t>
      </w:r>
      <w:r>
        <w:rPr>
          <w:rFonts w:ascii="Calibri" w:eastAsia="Calibri" w:hAnsi="Calibri" w:cs="Calibri"/>
        </w:rPr>
        <w:t></w:t>
      </w:r>
      <w:r>
        <w:t>–</w:t>
      </w:r>
      <w:r>
        <w:rPr>
          <w:rFonts w:ascii="Calibri" w:eastAsia="Calibri" w:hAnsi="Calibri" w:cs="Calibri"/>
        </w:rPr>
        <w:t></w:t>
      </w:r>
      <w:r>
        <w:t>.</w:t>
      </w:r>
    </w:p>
  </w:footnote>
  <w:footnote w:id="135">
    <w:p w:rsidR="007479CF" w:rsidRDefault="00CD28B5">
      <w:pPr>
        <w:pStyle w:val="footnotedescription"/>
        <w:spacing w:line="266" w:lineRule="auto"/>
      </w:pPr>
      <w:r>
        <w:rPr>
          <w:rStyle w:val="footnotemark"/>
        </w:rPr>
        <w:footnoteRef/>
      </w:r>
      <w:r>
        <w:t xml:space="preserve"> Hiram Chodosh, ‘Comparing Comparisons: In Search of Methodology’, (</w:t>
      </w:r>
      <w:r>
        <w:rPr>
          <w:rFonts w:ascii="Calibri" w:eastAsia="Calibri" w:hAnsi="Calibri" w:cs="Calibri"/>
        </w:rPr>
        <w:t></w:t>
      </w:r>
      <w:r>
        <w:t xml:space="preserve">) </w:t>
      </w:r>
      <w:r>
        <w:rPr>
          <w:rFonts w:ascii="Calibri" w:eastAsia="Calibri" w:hAnsi="Calibri" w:cs="Calibri"/>
        </w:rPr>
        <w:t></w:t>
      </w:r>
      <w:r>
        <w:t xml:space="preserve"> </w:t>
      </w:r>
      <w:r>
        <w:rPr>
          <w:i/>
        </w:rPr>
        <w:t xml:space="preserve">Iowa LR </w:t>
      </w:r>
      <w:r>
        <w:rPr>
          <w:rFonts w:ascii="Calibri" w:eastAsia="Calibri" w:hAnsi="Calibri" w:cs="Calibri"/>
        </w:rPr>
        <w:t></w:t>
      </w:r>
      <w:r>
        <w:t xml:space="preserve">, </w:t>
      </w:r>
      <w:r>
        <w:rPr>
          <w:rFonts w:ascii="Calibri" w:eastAsia="Calibri" w:hAnsi="Calibri" w:cs="Calibri"/>
        </w:rPr>
        <w:t xml:space="preserve"> </w:t>
      </w:r>
      <w:r>
        <w:t>f.</w:t>
      </w:r>
    </w:p>
  </w:footnote>
  <w:footnote w:id="136">
    <w:p w:rsidR="007479CF" w:rsidRDefault="00CD28B5">
      <w:pPr>
        <w:pStyle w:val="footnotedescription"/>
        <w:spacing w:line="267" w:lineRule="auto"/>
      </w:pPr>
      <w:r>
        <w:rPr>
          <w:rStyle w:val="footnotemark"/>
        </w:rPr>
        <w:footnoteRef/>
      </w:r>
      <w:r>
        <w:t xml:space="preserve"> cf Scheiwe, </w:t>
      </w:r>
      <w:r>
        <w:rPr>
          <w:rFonts w:ascii="Calibri" w:eastAsia="Calibri" w:hAnsi="Calibri" w:cs="Calibri"/>
        </w:rPr>
        <w:t></w:t>
      </w:r>
      <w:r>
        <w:t xml:space="preserve"> </w:t>
      </w:r>
      <w:r>
        <w:rPr>
          <w:i/>
        </w:rPr>
        <w:t>Kritische Vierteljah</w:t>
      </w:r>
      <w:r>
        <w:rPr>
          <w:i/>
        </w:rPr>
        <w:t>resschrift für Gesetzgebung und Rechtswissenschaft</w:t>
      </w:r>
      <w:r>
        <w:t xml:space="preserve"> </w:t>
      </w:r>
      <w:r>
        <w:rPr>
          <w:rFonts w:ascii="Calibri" w:eastAsia="Calibri" w:hAnsi="Calibri" w:cs="Calibri"/>
        </w:rPr>
        <w:t></w:t>
      </w:r>
      <w:r>
        <w:t>; Hein Kötz, ‘Abschied von der Rechtskreislehre?’, (</w:t>
      </w:r>
      <w:r>
        <w:rPr>
          <w:rFonts w:ascii="Calibri" w:eastAsia="Calibri" w:hAnsi="Calibri" w:cs="Calibri"/>
        </w:rPr>
        <w:t></w:t>
      </w:r>
      <w:r>
        <w:t xml:space="preserve">) </w:t>
      </w:r>
      <w:r>
        <w:rPr>
          <w:rFonts w:ascii="Calibri" w:eastAsia="Calibri" w:hAnsi="Calibri" w:cs="Calibri"/>
        </w:rPr>
        <w:t></w:t>
      </w:r>
      <w:r>
        <w:t xml:space="preserve"> </w:t>
      </w:r>
      <w:r>
        <w:rPr>
          <w:i/>
        </w:rPr>
        <w:t>Zeitschrift für Europäisches Privatrecht</w:t>
      </w:r>
      <w:r>
        <w:t xml:space="preserve"> </w:t>
      </w:r>
      <w:r>
        <w:rPr>
          <w:rFonts w:ascii="Calibri" w:eastAsia="Calibri" w:hAnsi="Calibri" w:cs="Calibri"/>
        </w:rPr>
        <w:t></w:t>
      </w:r>
      <w:r>
        <w:t xml:space="preserve">, </w:t>
      </w:r>
      <w:r>
        <w:rPr>
          <w:rFonts w:ascii="Calibri" w:eastAsia="Calibri" w:hAnsi="Calibri" w:cs="Calibri"/>
        </w:rPr>
        <w:t xml:space="preserve"> </w:t>
      </w:r>
      <w:r>
        <w:t>f.</w:t>
      </w:r>
    </w:p>
  </w:footnote>
  <w:footnote w:id="137">
    <w:p w:rsidR="007479CF" w:rsidRDefault="00CD28B5">
      <w:pPr>
        <w:pStyle w:val="footnotedescription"/>
        <w:spacing w:line="259" w:lineRule="auto"/>
        <w:ind w:right="7" w:firstLine="0"/>
        <w:jc w:val="right"/>
      </w:pPr>
      <w:r>
        <w:rPr>
          <w:rStyle w:val="footnotemark"/>
        </w:rPr>
        <w:footnoteRef/>
      </w:r>
      <w:r>
        <w:t xml:space="preserve"> Hill, </w:t>
      </w:r>
      <w:r>
        <w:rPr>
          <w:rFonts w:ascii="Calibri" w:eastAsia="Calibri" w:hAnsi="Calibri" w:cs="Calibri"/>
        </w:rPr>
        <w:t></w:t>
      </w:r>
      <w:r>
        <w:t xml:space="preserve"> </w:t>
      </w:r>
      <w:r>
        <w:rPr>
          <w:i/>
        </w:rPr>
        <w:t>Oxford Journal of Legal Studies</w:t>
      </w:r>
      <w:r>
        <w:t xml:space="preserve"> </w:t>
      </w:r>
      <w:r>
        <w:rPr>
          <w:rFonts w:ascii="Calibri" w:eastAsia="Calibri" w:hAnsi="Calibri" w:cs="Calibri"/>
        </w:rPr>
        <w:t></w:t>
      </w:r>
      <w:r>
        <w:t xml:space="preserve">, </w:t>
      </w:r>
      <w:r>
        <w:rPr>
          <w:rFonts w:ascii="Calibri" w:eastAsia="Calibri" w:hAnsi="Calibri" w:cs="Calibri"/>
        </w:rPr>
        <w:t></w:t>
      </w:r>
      <w:r>
        <w:t xml:space="preserve">; cf Frankenberg, </w:t>
      </w:r>
      <w:r>
        <w:rPr>
          <w:rFonts w:ascii="Calibri" w:eastAsia="Calibri" w:hAnsi="Calibri" w:cs="Calibri"/>
        </w:rPr>
        <w:t></w:t>
      </w:r>
      <w:r>
        <w:t xml:space="preserve"> </w:t>
      </w:r>
      <w:r>
        <w:rPr>
          <w:i/>
        </w:rPr>
        <w:t>Harvard Internation</w:t>
      </w:r>
      <w:r>
        <w:rPr>
          <w:i/>
        </w:rPr>
        <w:t>al LJ</w:t>
      </w:r>
      <w:r>
        <w:t xml:space="preserve"> </w:t>
      </w:r>
      <w:r>
        <w:rPr>
          <w:rFonts w:ascii="Calibri" w:eastAsia="Calibri" w:hAnsi="Calibri" w:cs="Calibri"/>
        </w:rPr>
        <w:t></w:t>
      </w:r>
      <w:r>
        <w:t>.</w:t>
      </w:r>
    </w:p>
  </w:footnote>
  <w:footnote w:id="138">
    <w:p w:rsidR="007479CF" w:rsidRDefault="00CD28B5">
      <w:pPr>
        <w:pStyle w:val="footnotedescription"/>
        <w:spacing w:line="250" w:lineRule="auto"/>
      </w:pPr>
      <w:r>
        <w:rPr>
          <w:rStyle w:val="footnotemark"/>
        </w:rPr>
        <w:footnoteRef/>
      </w:r>
      <w:r>
        <w:t xml:space="preserve"> For this criticism, see Scheiwe, </w:t>
      </w:r>
      <w:r>
        <w:rPr>
          <w:rFonts w:ascii="Calibri" w:eastAsia="Calibri" w:hAnsi="Calibri" w:cs="Calibri"/>
        </w:rPr>
        <w:t></w:t>
      </w:r>
      <w:r>
        <w:t xml:space="preserve"> </w:t>
      </w:r>
      <w:r>
        <w:rPr>
          <w:i/>
        </w:rPr>
        <w:t>Kritische Vierteljahresschrift für Gesetzgebung und Rechtswissenschaft</w:t>
      </w:r>
      <w:r>
        <w:t xml:space="preserve"> </w:t>
      </w:r>
      <w:r>
        <w:rPr>
          <w:rFonts w:ascii="Calibri" w:eastAsia="Calibri" w:hAnsi="Calibri" w:cs="Calibri"/>
        </w:rPr>
        <w:t></w:t>
      </w:r>
      <w:r>
        <w:t xml:space="preserve">, </w:t>
      </w:r>
      <w:r>
        <w:rPr>
          <w:rFonts w:ascii="Calibri" w:eastAsia="Calibri" w:hAnsi="Calibri" w:cs="Calibri"/>
        </w:rPr>
        <w:t></w:t>
      </w:r>
      <w:r>
        <w:t>.</w:t>
      </w:r>
    </w:p>
  </w:footnote>
  <w:footnote w:id="139">
    <w:p w:rsidR="007479CF" w:rsidRDefault="00CD28B5">
      <w:pPr>
        <w:pStyle w:val="footnotedescription"/>
        <w:spacing w:after="6" w:line="246" w:lineRule="auto"/>
      </w:pPr>
      <w:r>
        <w:rPr>
          <w:rStyle w:val="footnotemark"/>
        </w:rPr>
        <w:footnoteRef/>
      </w:r>
      <w:r>
        <w:t xml:space="preserve"> Zweigert and Kötz (n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Max Rheinstein, ‘Teaching Comparative Law’, (</w:t>
      </w:r>
      <w:r>
        <w:rPr>
          <w:rFonts w:ascii="Calibri" w:eastAsia="Calibri" w:hAnsi="Calibri" w:cs="Calibri"/>
        </w:rPr>
        <w:t></w:t>
      </w:r>
      <w:r>
        <w:t>–</w:t>
      </w:r>
      <w:r>
        <w:rPr>
          <w:rFonts w:ascii="Calibri" w:eastAsia="Calibri" w:hAnsi="Calibri" w:cs="Calibri"/>
        </w:rPr>
        <w:t></w:t>
      </w:r>
      <w:r>
        <w:t xml:space="preserve">) </w:t>
      </w:r>
      <w:r>
        <w:rPr>
          <w:rFonts w:ascii="Calibri" w:eastAsia="Calibri" w:hAnsi="Calibri" w:cs="Calibri"/>
        </w:rPr>
        <w:t xml:space="preserve"> </w:t>
      </w:r>
      <w:r>
        <w:rPr>
          <w:i/>
        </w:rPr>
        <w:t>University of Chicago LR</w:t>
      </w:r>
      <w:r>
        <w:t xml:space="preserve"> </w:t>
      </w:r>
      <w:r>
        <w:rPr>
          <w:rFonts w:ascii="Calibri" w:eastAsia="Calibri" w:hAnsi="Calibri" w:cs="Calibri"/>
        </w:rPr>
        <w:t></w:t>
      </w:r>
      <w:r>
        <w:t xml:space="preserve">, </w:t>
      </w:r>
      <w:r>
        <w:rPr>
          <w:rFonts w:ascii="Calibri" w:eastAsia="Calibri" w:hAnsi="Calibri" w:cs="Calibri"/>
        </w:rPr>
        <w:t xml:space="preserve"> </w:t>
      </w:r>
      <w:r>
        <w:t>f. For problems of systematization and terminology in a practical example of functionalist comparative law, see Ulrich Drobnig, ‘Methodenfragen der Rechtsvergleichung im Lichte der “International Encyclopedia of Comparativ</w:t>
      </w:r>
      <w:r>
        <w:t xml:space="preserve">e Law” ’, in </w:t>
      </w:r>
      <w:r>
        <w:rPr>
          <w:i/>
        </w:rPr>
        <w:t>Ius Privatum Gentium— Festschrift für Max Rheinstein</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The prominent position of the system in Zweigert and Kötz’s treatise may be due to Zweigert’s interest in a system of comparative law before he advocated functionalism. </w:t>
      </w:r>
      <w:r>
        <w:t>See eg Konrad Zweigert, Book Review,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w:t>
      </w:r>
      <w:r>
        <w:rPr>
          <w:rFonts w:ascii="Calibri" w:eastAsia="Calibri" w:hAnsi="Calibri" w:cs="Calibri"/>
        </w:rPr>
        <w:t></w:t>
      </w:r>
      <w:r>
        <w:t xml:space="preserve">; Bernhard C. H. Aubin and Konrad Zweigert, </w:t>
      </w:r>
      <w:r>
        <w:rPr>
          <w:i/>
        </w:rPr>
        <w:t>Rechtsvergleichung im deutschen Hochschulunterricht</w:t>
      </w:r>
      <w:r>
        <w:t xml:space="preserve"> (</w:t>
      </w:r>
      <w:r>
        <w:rPr>
          <w:rFonts w:ascii="Calibri" w:eastAsia="Calibri" w:hAnsi="Calibri" w:cs="Calibri"/>
        </w:rPr>
        <w:t></w:t>
      </w:r>
      <w:r>
        <w:t xml:space="preserve">), eg at </w:t>
      </w:r>
      <w:r>
        <w:rPr>
          <w:rFonts w:ascii="Calibri" w:eastAsia="Calibri" w:hAnsi="Calibri" w:cs="Calibri"/>
        </w:rPr>
        <w:t xml:space="preserve"> </w:t>
      </w:r>
      <w:r>
        <w:t>(‘Einheit eines überpositiven Systems’, unity of a suprapositive system).</w:t>
      </w:r>
    </w:p>
  </w:footnote>
  <w:footnote w:id="140">
    <w:p w:rsidR="007479CF" w:rsidRDefault="00CD28B5">
      <w:pPr>
        <w:pStyle w:val="footnotedescription"/>
        <w:spacing w:line="247" w:lineRule="auto"/>
      </w:pPr>
      <w:r>
        <w:rPr>
          <w:rStyle w:val="footnotemark"/>
        </w:rPr>
        <w:footnoteRef/>
      </w:r>
      <w:r>
        <w:t xml:space="preserve"> Konrad </w:t>
      </w:r>
      <w:r>
        <w:t xml:space="preserve">Zweigert, ‘Rechtsvergleichung, System und Dogmatik’, in </w:t>
      </w:r>
      <w:r>
        <w:rPr>
          <w:i/>
        </w:rPr>
        <w:t>Festschrift für Eduard Bötticher</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p>
  </w:footnote>
  <w:footnote w:id="141">
    <w:p w:rsidR="007479CF" w:rsidRDefault="00CD28B5">
      <w:pPr>
        <w:pStyle w:val="footnotedescription"/>
        <w:spacing w:line="258" w:lineRule="auto"/>
        <w:ind w:right="5"/>
      </w:pPr>
      <w:r>
        <w:rPr>
          <w:rStyle w:val="footnotemark"/>
        </w:rPr>
        <w:footnoteRef/>
      </w:r>
      <w:r>
        <w:t xml:space="preserve"> For criticism, see Ernst Kramer, </w:t>
      </w:r>
      <w:r>
        <w:rPr>
          <w:rFonts w:ascii="Calibri" w:eastAsia="Calibri" w:hAnsi="Calibri" w:cs="Calibri"/>
        </w:rPr>
        <w:t></w:t>
      </w:r>
      <w:r>
        <w:t xml:space="preserve"> </w:t>
      </w:r>
      <w:r>
        <w:rPr>
          <w:i/>
        </w:rPr>
        <w:t>RabelsZ</w:t>
      </w:r>
      <w:r>
        <w:t xml:space="preserve"> </w:t>
      </w:r>
      <w:r>
        <w:rPr>
          <w:rFonts w:ascii="Calibri" w:eastAsia="Calibri" w:hAnsi="Calibri" w:cs="Calibri"/>
        </w:rPr>
        <w:t></w:t>
      </w:r>
      <w:r>
        <w:t>–</w:t>
      </w:r>
      <w:r>
        <w:rPr>
          <w:rFonts w:ascii="Calibri" w:eastAsia="Calibri" w:hAnsi="Calibri" w:cs="Calibri"/>
        </w:rPr>
        <w:t></w:t>
      </w:r>
      <w:r>
        <w:t xml:space="preserve">, against Esser and Rothoeft. Riles, </w:t>
      </w:r>
      <w:r>
        <w:rPr>
          <w:rFonts w:ascii="Calibri" w:eastAsia="Calibri" w:hAnsi="Calibri" w:cs="Calibri"/>
        </w:rPr>
        <w:t></w:t>
      </w:r>
      <w:r>
        <w:t xml:space="preserve"> </w:t>
      </w:r>
      <w:r>
        <w:rPr>
          <w:i/>
        </w:rPr>
        <w:t>Harvard International LJ</w:t>
      </w:r>
      <w:r>
        <w:t xml:space="preserve"> </w:t>
      </w:r>
      <w:r>
        <w:rPr>
          <w:rFonts w:ascii="Calibri" w:eastAsia="Calibri" w:hAnsi="Calibri" w:cs="Calibri"/>
        </w:rPr>
        <w:t xml:space="preserve"> </w:t>
      </w:r>
      <w:r>
        <w:t>f, posits that the postmodern</w:t>
      </w:r>
      <w:r>
        <w:t xml:space="preserve"> attack against modernist comparative law parallels the modernist attack against earlier comparative law.</w:t>
      </w:r>
    </w:p>
  </w:footnote>
  <w:footnote w:id="142">
    <w:p w:rsidR="007479CF" w:rsidRDefault="00CD28B5">
      <w:pPr>
        <w:pStyle w:val="footnotedescription"/>
        <w:spacing w:line="259" w:lineRule="auto"/>
        <w:ind w:left="175" w:firstLine="0"/>
        <w:jc w:val="left"/>
      </w:pPr>
      <w:r>
        <w:rPr>
          <w:rStyle w:val="footnotemark"/>
        </w:rPr>
        <w:footnoteRef/>
      </w:r>
      <w:r>
        <w:t xml:space="preserve"> Adaptation, Goal attainment, Integration, Latency.</w:t>
      </w:r>
    </w:p>
  </w:footnote>
  <w:footnote w:id="143">
    <w:p w:rsidR="007479CF" w:rsidRDefault="00CD28B5">
      <w:pPr>
        <w:pStyle w:val="footnotedescription"/>
        <w:ind w:right="1"/>
      </w:pPr>
      <w:r>
        <w:rPr>
          <w:rStyle w:val="footnotemark"/>
        </w:rPr>
        <w:footnoteRef/>
      </w:r>
      <w:r>
        <w:t xml:space="preserve"> Ralf Michaels, </w:t>
      </w:r>
      <w:r>
        <w:rPr>
          <w:i/>
        </w:rPr>
        <w:t>Sachzuordnung durch Kaufvertrag</w:t>
      </w:r>
      <w:r>
        <w:t xml:space="preserve"> (</w:t>
      </w:r>
      <w:r>
        <w:rPr>
          <w:rFonts w:ascii="Calibri" w:eastAsia="Calibri" w:hAnsi="Calibri" w:cs="Calibri"/>
        </w:rPr>
        <w:t></w:t>
      </w:r>
      <w:r>
        <w:t xml:space="preserve">), especially </w:t>
      </w:r>
      <w:r>
        <w:rPr>
          <w:rFonts w:ascii="Calibri" w:eastAsia="Calibri" w:hAnsi="Calibri" w:cs="Calibri"/>
        </w:rPr>
        <w:t> ff</w:t>
      </w:r>
      <w:r>
        <w:t>; cf already Fr. Vindin</w:t>
      </w:r>
      <w:r>
        <w:t>g Kruse, ‘What Does “Transfer of Property” Mean with Regard to Chattels? A Study in Comparative Law’,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w:t>
      </w:r>
      <w:r>
        <w:rPr>
          <w:rFonts w:ascii="Calibri" w:eastAsia="Calibri" w:hAnsi="Calibri" w:cs="Calibri"/>
        </w:rPr>
        <w:t></w:t>
      </w:r>
      <w:r>
        <w:t>; Rodolfo Sacco, ‘Diversity and Uniformity in the Law’,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 xml:space="preserve">, </w:t>
      </w:r>
      <w:r>
        <w:rPr>
          <w:rFonts w:ascii="Calibri" w:eastAsia="Calibri" w:hAnsi="Calibri" w:cs="Calibri"/>
        </w:rPr>
        <w:t xml:space="preserve"> </w:t>
      </w:r>
      <w:r>
        <w:t>f.</w:t>
      </w:r>
    </w:p>
  </w:footnote>
  <w:footnote w:id="144">
    <w:p w:rsidR="007479CF" w:rsidRDefault="00CD28B5">
      <w:pPr>
        <w:pStyle w:val="footnotedescription"/>
        <w:spacing w:line="259" w:lineRule="auto"/>
        <w:ind w:left="175" w:firstLine="0"/>
        <w:jc w:val="left"/>
      </w:pPr>
      <w:r>
        <w:rPr>
          <w:rStyle w:val="footnotemark"/>
        </w:rPr>
        <w:footnoteRef/>
      </w:r>
      <w:r>
        <w:t xml:space="preserve"> Luhmann, ‘</w:t>
      </w:r>
      <w:r>
        <w:t xml:space="preserve">Funktionale Methode und Systemtheorie’ (n </w:t>
      </w:r>
      <w:r>
        <w:rPr>
          <w:rFonts w:ascii="Calibri" w:eastAsia="Calibri" w:hAnsi="Calibri" w:cs="Calibri"/>
        </w:rPr>
        <w:t></w:t>
      </w:r>
      <w:r>
        <w:t>).</w:t>
      </w:r>
    </w:p>
  </w:footnote>
  <w:footnote w:id="145">
    <w:p w:rsidR="007479CF" w:rsidRDefault="00CD28B5">
      <w:pPr>
        <w:pStyle w:val="footnotedescription"/>
        <w:spacing w:line="243" w:lineRule="auto"/>
        <w:jc w:val="left"/>
      </w:pPr>
      <w:r>
        <w:rPr>
          <w:rStyle w:val="footnotemark"/>
        </w:rPr>
        <w:footnoteRef/>
      </w:r>
      <w:r>
        <w:t xml:space="preserve"> Saleilles (n </w:t>
      </w:r>
      <w:r>
        <w:rPr>
          <w:rFonts w:ascii="Calibri" w:eastAsia="Calibri" w:hAnsi="Calibri" w:cs="Calibri"/>
        </w:rPr>
        <w:t></w:t>
      </w:r>
      <w:r>
        <w:t xml:space="preserve">); </w:t>
      </w:r>
      <w:r>
        <w:rPr>
          <w:i/>
        </w:rPr>
        <w:t>idem</w:t>
      </w:r>
      <w:r>
        <w:t>, ‘École historique et droit naturel’, (</w:t>
      </w:r>
      <w:r>
        <w:rPr>
          <w:rFonts w:ascii="Calibri" w:eastAsia="Calibri" w:hAnsi="Calibri" w:cs="Calibri"/>
        </w:rPr>
        <w:t></w:t>
      </w:r>
      <w:r>
        <w:t xml:space="preserve">) </w:t>
      </w:r>
      <w:r>
        <w:rPr>
          <w:rFonts w:ascii="Calibri" w:eastAsia="Calibri" w:hAnsi="Calibri" w:cs="Calibri"/>
        </w:rPr>
        <w:t></w:t>
      </w:r>
      <w:r>
        <w:t xml:space="preserve"> </w:t>
      </w:r>
      <w:r>
        <w:rPr>
          <w:i/>
        </w:rPr>
        <w:t xml:space="preserve">Revue trimestrielle de droit civil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ff</w:t>
      </w:r>
      <w:r>
        <w:t xml:space="preserve">; Zweigert, </w:t>
      </w:r>
      <w:r>
        <w:rPr>
          <w:rFonts w:ascii="Calibri" w:eastAsia="Calibri" w:hAnsi="Calibri" w:cs="Calibri"/>
        </w:rPr>
        <w:t></w:t>
      </w:r>
      <w:r>
        <w:t xml:space="preserve"> </w:t>
      </w:r>
      <w:r>
        <w:rPr>
          <w:i/>
        </w:rPr>
        <w:t>RabelsZ</w:t>
      </w:r>
      <w:r>
        <w:t xml:space="preserve"> </w:t>
      </w:r>
      <w:r>
        <w:rPr>
          <w:rFonts w:ascii="Calibri" w:eastAsia="Calibri" w:hAnsi="Calibri" w:cs="Calibri"/>
        </w:rPr>
        <w:t></w:t>
      </w:r>
      <w:r>
        <w:t>–</w:t>
      </w:r>
      <w:r>
        <w:rPr>
          <w:rFonts w:ascii="Calibri" w:eastAsia="Calibri" w:hAnsi="Calibri" w:cs="Calibri"/>
        </w:rPr>
        <w:t></w:t>
      </w:r>
      <w:r>
        <w:t>.</w:t>
      </w:r>
    </w:p>
  </w:footnote>
  <w:footnote w:id="146">
    <w:p w:rsidR="007479CF" w:rsidRDefault="00CD28B5">
      <w:pPr>
        <w:pStyle w:val="footnotedescription"/>
        <w:spacing w:line="246" w:lineRule="auto"/>
        <w:ind w:right="6"/>
      </w:pPr>
      <w:r>
        <w:rPr>
          <w:rStyle w:val="footnotemark"/>
        </w:rPr>
        <w:footnoteRef/>
      </w:r>
      <w:r>
        <w:t xml:space="preserve"> Hill, </w:t>
      </w:r>
      <w:r>
        <w:rPr>
          <w:rFonts w:ascii="Calibri" w:eastAsia="Calibri" w:hAnsi="Calibri" w:cs="Calibri"/>
        </w:rPr>
        <w:t></w:t>
      </w:r>
      <w:r>
        <w:t xml:space="preserve"> </w:t>
      </w:r>
      <w:r>
        <w:rPr>
          <w:i/>
        </w:rPr>
        <w:t>Oxford Journal of Legal Studies</w:t>
      </w:r>
      <w:r>
        <w:t xml:space="preserve"> </w:t>
      </w:r>
      <w:r>
        <w:rPr>
          <w:rFonts w:ascii="Calibri" w:eastAsia="Calibri" w:hAnsi="Calibri" w:cs="Calibri"/>
        </w:rPr>
        <w:t></w:t>
      </w:r>
      <w:r>
        <w:t>; J. P</w:t>
      </w:r>
      <w:r>
        <w:t xml:space="preserve">. Verheul, ‘Così fan tutte’, in </w:t>
      </w:r>
      <w:r>
        <w:rPr>
          <w:i/>
        </w:rPr>
        <w:t>Comparability and Evaluation: Essays on Comparative Law, Private International Law and International Commercial Arbitration in Honour of Kokkini-Iatridou</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147">
    <w:p w:rsidR="007479CF" w:rsidRDefault="00CD28B5">
      <w:pPr>
        <w:pStyle w:val="footnotedescription"/>
        <w:spacing w:line="259" w:lineRule="auto"/>
        <w:ind w:left="175" w:firstLine="0"/>
        <w:jc w:val="left"/>
      </w:pPr>
      <w:r>
        <w:rPr>
          <w:rStyle w:val="footnotemark"/>
        </w:rPr>
        <w:footnoteRef/>
      </w:r>
      <w:r>
        <w:t xml:space="preserve"> Rabel, </w:t>
      </w:r>
      <w:r>
        <w:rPr>
          <w:rFonts w:ascii="Calibri" w:eastAsia="Calibri" w:hAnsi="Calibri" w:cs="Calibri"/>
        </w:rPr>
        <w:t></w:t>
      </w:r>
      <w:r>
        <w:t xml:space="preserve"> </w:t>
      </w:r>
      <w:r>
        <w:rPr>
          <w:i/>
        </w:rPr>
        <w:t>Rheinische Zeitschrift für Zivil- und Proze</w:t>
      </w:r>
      <w:r>
        <w:rPr>
          <w:i/>
        </w:rPr>
        <w:t>ßrecht</w:t>
      </w:r>
      <w:r>
        <w:t xml:space="preserve"> </w:t>
      </w:r>
      <w:r>
        <w:rPr>
          <w:rFonts w:ascii="Calibri" w:eastAsia="Calibri" w:hAnsi="Calibri" w:cs="Calibri"/>
        </w:rPr>
        <w:t></w:t>
      </w:r>
      <w:r>
        <w:t xml:space="preserve"> (but see </w:t>
      </w:r>
      <w:r>
        <w:rPr>
          <w:rFonts w:ascii="Calibri" w:eastAsia="Calibri" w:hAnsi="Calibri" w:cs="Calibri"/>
        </w:rPr>
        <w:t> ff</w:t>
      </w:r>
      <w:r>
        <w:t>).</w:t>
      </w:r>
    </w:p>
  </w:footnote>
  <w:footnote w:id="148">
    <w:p w:rsidR="007479CF" w:rsidRDefault="00CD28B5">
      <w:pPr>
        <w:pStyle w:val="footnotedescription"/>
        <w:spacing w:line="259" w:lineRule="auto"/>
        <w:ind w:left="175" w:firstLine="0"/>
        <w:jc w:val="left"/>
      </w:pPr>
      <w:r>
        <w:rPr>
          <w:rStyle w:val="footnotemark"/>
        </w:rPr>
        <w:footnoteRef/>
      </w:r>
      <w:r>
        <w:t xml:space="preserve"> Radbruch, ‘Über die Methode’ (n </w:t>
      </w:r>
      <w:r>
        <w:rPr>
          <w:rFonts w:ascii="Calibri" w:eastAsia="Calibri" w:hAnsi="Calibri" w:cs="Calibri"/>
        </w:rPr>
        <w:t></w:t>
      </w:r>
      <w:r>
        <w:t xml:space="preserve">); Salomon (n </w:t>
      </w:r>
      <w:r>
        <w:rPr>
          <w:rFonts w:ascii="Calibri" w:eastAsia="Calibri" w:hAnsi="Calibri" w:cs="Calibri"/>
        </w:rPr>
        <w:t></w:t>
      </w:r>
      <w:r>
        <w:t xml:space="preserve">), </w:t>
      </w:r>
      <w:r>
        <w:rPr>
          <w:rFonts w:ascii="Calibri" w:eastAsia="Calibri" w:hAnsi="Calibri" w:cs="Calibri"/>
        </w:rPr>
        <w:t> ff</w:t>
      </w:r>
      <w:r>
        <w:t xml:space="preserve">; Blomeyer (n </w:t>
      </w:r>
      <w:r>
        <w:rPr>
          <w:rFonts w:ascii="Calibri" w:eastAsia="Calibri" w:hAnsi="Calibri" w:cs="Calibri"/>
        </w:rPr>
        <w:t></w:t>
      </w:r>
      <w:r>
        <w:t xml:space="preserve">), </w:t>
      </w:r>
      <w:r>
        <w:rPr>
          <w:rFonts w:ascii="Calibri" w:eastAsia="Calibri" w:hAnsi="Calibri" w:cs="Calibri"/>
        </w:rPr>
        <w:t></w:t>
      </w:r>
      <w:r>
        <w:t>.</w:t>
      </w:r>
    </w:p>
  </w:footnote>
  <w:footnote w:id="149">
    <w:p w:rsidR="007479CF" w:rsidRDefault="00CD28B5">
      <w:pPr>
        <w:pStyle w:val="footnotedescription"/>
        <w:spacing w:after="5" w:line="244" w:lineRule="auto"/>
      </w:pPr>
      <w:r>
        <w:rPr>
          <w:rStyle w:val="footnotemark"/>
        </w:rPr>
        <w:footnoteRef/>
      </w:r>
      <w:r>
        <w:t xml:space="preserve"> Zweigert, </w:t>
      </w:r>
      <w:r>
        <w:rPr>
          <w:rFonts w:ascii="Calibri" w:eastAsia="Calibri" w:hAnsi="Calibri" w:cs="Calibri"/>
        </w:rPr>
        <w:t></w:t>
      </w:r>
      <w:r>
        <w:t xml:space="preserve"> </w:t>
      </w:r>
      <w:r>
        <w:rPr>
          <w:i/>
        </w:rPr>
        <w:t>RabelsZ</w:t>
      </w:r>
      <w:r>
        <w:t xml:space="preserve"> </w:t>
      </w:r>
      <w:r>
        <w:rPr>
          <w:rFonts w:ascii="Calibri" w:eastAsia="Calibri" w:hAnsi="Calibri" w:cs="Calibri"/>
        </w:rPr>
        <w:t xml:space="preserve"> </w:t>
      </w:r>
      <w:r>
        <w:t xml:space="preserve">f; </w:t>
      </w:r>
      <w:r>
        <w:rPr>
          <w:i/>
        </w:rPr>
        <w:t>idem</w:t>
      </w:r>
      <w:r>
        <w:t xml:space="preserve">, ‘Die kritische Wertung in der Rechtsvergleichung’, in </w:t>
      </w:r>
      <w:r>
        <w:rPr>
          <w:i/>
        </w:rPr>
        <w:t>Law and Trade: Recht und Internationaler Handel. Festsc</w:t>
      </w:r>
      <w:r>
        <w:rPr>
          <w:i/>
        </w:rPr>
        <w:t>hrift für Clive Schmittho</w:t>
      </w:r>
      <w:r>
        <w:rPr>
          <w:rFonts w:ascii="Calibri" w:eastAsia="Calibri" w:hAnsi="Calibri" w:cs="Calibri"/>
          <w:i/>
        </w:rPr>
        <w:t>ff</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p>
  </w:footnote>
  <w:footnote w:id="150">
    <w:p w:rsidR="007479CF" w:rsidRDefault="00CD28B5">
      <w:pPr>
        <w:pStyle w:val="footnotedescription"/>
        <w:spacing w:after="4" w:line="259" w:lineRule="auto"/>
        <w:ind w:left="175" w:firstLine="0"/>
        <w:jc w:val="left"/>
      </w:pPr>
      <w:r>
        <w:rPr>
          <w:rStyle w:val="footnotemark"/>
        </w:rPr>
        <w:footnoteRef/>
      </w:r>
      <w:r>
        <w:t xml:space="preserve"> Zweigert and Kötz (n </w:t>
      </w:r>
      <w:r>
        <w:rPr>
          <w:rFonts w:ascii="Calibri" w:eastAsia="Calibri" w:hAnsi="Calibri" w:cs="Calibri"/>
        </w:rPr>
        <w:t></w:t>
      </w:r>
      <w:r>
        <w:t xml:space="preserve">), </w:t>
      </w:r>
      <w:r>
        <w:rPr>
          <w:rFonts w:ascii="Calibri" w:eastAsia="Calibri" w:hAnsi="Calibri" w:cs="Calibri"/>
        </w:rPr>
        <w:t xml:space="preserve"> </w:t>
      </w:r>
      <w:r>
        <w:t xml:space="preserve">f; cf </w:t>
      </w:r>
      <w:r>
        <w:rPr>
          <w:rFonts w:ascii="Calibri" w:eastAsia="Calibri" w:hAnsi="Calibri" w:cs="Calibri"/>
        </w:rPr>
        <w:t></w:t>
      </w:r>
      <w:r>
        <w:t>.</w:t>
      </w:r>
    </w:p>
  </w:footnote>
  <w:footnote w:id="151">
    <w:p w:rsidR="007479CF" w:rsidRDefault="00CD28B5">
      <w:pPr>
        <w:pStyle w:val="footnotedescription"/>
        <w:spacing w:after="5" w:line="245" w:lineRule="auto"/>
        <w:jc w:val="left"/>
      </w:pPr>
      <w:r>
        <w:rPr>
          <w:rStyle w:val="footnotemark"/>
        </w:rPr>
        <w:footnoteRef/>
      </w:r>
      <w:r>
        <w:t xml:space="preserve"> Zweigert, ‘Kritische Wertung’ (n </w:t>
      </w:r>
      <w:r>
        <w:rPr>
          <w:rFonts w:ascii="Calibri" w:eastAsia="Calibri" w:hAnsi="Calibri" w:cs="Calibri"/>
        </w:rPr>
        <w:t></w:t>
      </w:r>
      <w:r>
        <w:t xml:space="preserve">), </w:t>
      </w:r>
      <w:r>
        <w:rPr>
          <w:rFonts w:ascii="Calibri" w:eastAsia="Calibri" w:hAnsi="Calibri" w:cs="Calibri"/>
        </w:rPr>
        <w:t xml:space="preserve"> </w:t>
      </w:r>
      <w:r>
        <w:t xml:space="preserve">f; for a more explicit is/ought cross-over, see </w:t>
      </w:r>
      <w:r>
        <w:rPr>
          <w:i/>
        </w:rPr>
        <w:t>idem</w:t>
      </w:r>
      <w:r>
        <w:t xml:space="preserve">, </w:t>
      </w:r>
      <w:r>
        <w:rPr>
          <w:rFonts w:ascii="Calibri" w:eastAsia="Calibri" w:hAnsi="Calibri" w:cs="Calibri"/>
        </w:rPr>
        <w:t xml:space="preserve"> </w:t>
      </w:r>
      <w:r>
        <w:rPr>
          <w:i/>
        </w:rPr>
        <w:t>RabelsZ</w:t>
      </w:r>
      <w:r>
        <w:t xml:space="preserve"> </w:t>
      </w:r>
      <w:r>
        <w:rPr>
          <w:rFonts w:ascii="Calibri" w:eastAsia="Calibri" w:hAnsi="Calibri" w:cs="Calibri"/>
        </w:rPr>
        <w:t></w:t>
      </w:r>
      <w:r>
        <w:t>.</w:t>
      </w:r>
    </w:p>
  </w:footnote>
  <w:footnote w:id="152">
    <w:p w:rsidR="007479CF" w:rsidRDefault="00CD28B5">
      <w:pPr>
        <w:pStyle w:val="footnotedescription"/>
        <w:spacing w:line="250" w:lineRule="auto"/>
        <w:ind w:right="5"/>
      </w:pPr>
      <w:r>
        <w:rPr>
          <w:rStyle w:val="footnotemark"/>
        </w:rPr>
        <w:footnoteRef/>
      </w:r>
      <w:r>
        <w:t xml:space="preserve"> Rheinstein, </w:t>
      </w:r>
      <w:r>
        <w:rPr>
          <w:rFonts w:ascii="Calibri" w:eastAsia="Calibri" w:hAnsi="Calibri" w:cs="Calibri"/>
        </w:rPr>
        <w:t></w:t>
      </w:r>
      <w:r>
        <w:t xml:space="preserve"> </w:t>
      </w:r>
      <w:r>
        <w:rPr>
          <w:i/>
        </w:rPr>
        <w:t>University of Chicago LR</w:t>
      </w:r>
      <w:r>
        <w:t xml:space="preserve">, </w:t>
      </w:r>
      <w:r>
        <w:rPr>
          <w:rFonts w:ascii="Calibri" w:eastAsia="Calibri" w:hAnsi="Calibri" w:cs="Calibri"/>
        </w:rPr>
        <w:t xml:space="preserve"> </w:t>
      </w:r>
      <w:r>
        <w:t>f: ‘[E]very rule and institution has to justify its existence under two inquiries: First: What function does it serve in present society? Second: Does it serve this function well or would another rule serve it better? It is ob</w:t>
      </w:r>
      <w:r>
        <w:t xml:space="preserve">vious that the second question cannot be answered except upon the basis of a comparison with other legal systems’ (internal footnote omitted). </w:t>
      </w:r>
      <w:r>
        <w:rPr>
          <w:b/>
          <w:vertAlign w:val="superscript"/>
        </w:rPr>
        <w:t xml:space="preserve">187 </w:t>
      </w:r>
      <w:r>
        <w:t xml:space="preserve">cf Niklas Luhmann, </w:t>
      </w:r>
      <w:r>
        <w:rPr>
          <w:i/>
        </w:rPr>
        <w:t>Zweckbegri</w:t>
      </w:r>
      <w:r>
        <w:rPr>
          <w:rFonts w:ascii="Calibri" w:eastAsia="Calibri" w:hAnsi="Calibri" w:cs="Calibri"/>
          <w:i/>
        </w:rPr>
        <w:t>ff</w:t>
      </w:r>
      <w:r>
        <w:rPr>
          <w:i/>
        </w:rPr>
        <w:t xml:space="preserve"> und Systemrationalität</w:t>
      </w:r>
      <w:r>
        <w:t xml:space="preserve"> (</w:t>
      </w:r>
      <w:r>
        <w:rPr>
          <w:rFonts w:ascii="Calibri" w:eastAsia="Calibri" w:hAnsi="Calibri" w:cs="Calibri"/>
        </w:rPr>
        <w:t></w:t>
      </w:r>
      <w:r>
        <w:t xml:space="preserve">), </w:t>
      </w:r>
      <w:r>
        <w:rPr>
          <w:rFonts w:ascii="Calibri" w:eastAsia="Calibri" w:hAnsi="Calibri" w:cs="Calibri"/>
        </w:rPr>
        <w:t></w:t>
      </w:r>
      <w:r>
        <w:t>.</w:t>
      </w:r>
    </w:p>
  </w:footnote>
  <w:footnote w:id="153">
    <w:p w:rsidR="007479CF" w:rsidRDefault="00CD28B5">
      <w:pPr>
        <w:pStyle w:val="footnotedescription"/>
        <w:spacing w:line="253" w:lineRule="auto"/>
        <w:ind w:left="402" w:right="262" w:firstLine="0"/>
        <w:jc w:val="left"/>
      </w:pPr>
      <w:r>
        <w:rPr>
          <w:rStyle w:val="footnotemark"/>
        </w:rPr>
        <w:footnoteRef/>
      </w:r>
      <w:r>
        <w:t xml:space="preserve"> Prudent functionalists admit this much,</w:t>
      </w:r>
      <w:r>
        <w:t xml:space="preserve"> eg Rheinstein, </w:t>
      </w:r>
      <w:r>
        <w:rPr>
          <w:rFonts w:ascii="Calibri" w:eastAsia="Calibri" w:hAnsi="Calibri" w:cs="Calibri"/>
        </w:rPr>
        <w:t></w:t>
      </w:r>
      <w:r>
        <w:t xml:space="preserve"> </w:t>
      </w:r>
      <w:r>
        <w:rPr>
          <w:i/>
        </w:rPr>
        <w:t>University of Chicago LR</w:t>
      </w:r>
      <w:r>
        <w:t xml:space="preserve"> </w:t>
      </w:r>
      <w:r>
        <w:rPr>
          <w:rFonts w:ascii="Calibri" w:eastAsia="Calibri" w:hAnsi="Calibri" w:cs="Calibri"/>
        </w:rPr>
        <w:t></w:t>
      </w:r>
      <w:r>
        <w:t xml:space="preserve">. </w:t>
      </w:r>
      <w:r>
        <w:rPr>
          <w:b/>
          <w:vertAlign w:val="superscript"/>
        </w:rPr>
        <w:t xml:space="preserve">189 </w:t>
      </w:r>
      <w:r>
        <w:t>[</w:t>
      </w:r>
      <w:r>
        <w:rPr>
          <w:rFonts w:ascii="Calibri" w:eastAsia="Calibri" w:hAnsi="Calibri" w:cs="Calibri"/>
        </w:rPr>
        <w:t></w:t>
      </w:r>
      <w:r>
        <w:t xml:space="preserve">] </w:t>
      </w:r>
      <w:r>
        <w:rPr>
          <w:rFonts w:ascii="Calibri" w:eastAsia="Calibri" w:hAnsi="Calibri" w:cs="Calibri"/>
        </w:rPr>
        <w:t></w:t>
      </w:r>
      <w:r>
        <w:t xml:space="preserve"> AC </w:t>
      </w:r>
      <w:r>
        <w:rPr>
          <w:rFonts w:ascii="Calibri" w:eastAsia="Calibri" w:hAnsi="Calibri" w:cs="Calibri"/>
        </w:rPr>
        <w:t></w:t>
      </w:r>
      <w:r>
        <w:t>.</w:t>
      </w:r>
    </w:p>
  </w:footnote>
  <w:footnote w:id="154">
    <w:p w:rsidR="007479CF" w:rsidRDefault="00CD28B5">
      <w:pPr>
        <w:pStyle w:val="footnotedescription"/>
        <w:spacing w:line="247" w:lineRule="auto"/>
        <w:ind w:right="5"/>
      </w:pPr>
      <w:r>
        <w:rPr>
          <w:rStyle w:val="footnotemark"/>
        </w:rPr>
        <w:footnoteRef/>
      </w:r>
      <w:r>
        <w:t xml:space="preserve"> Christian Baldus, ‘</w:t>
      </w:r>
      <w:r>
        <w:t>Historische Rechtsvergleichung im zusammenwachsenden Europa: Funktionelle Grenzen der funktionellen Methode?’, (</w:t>
      </w:r>
      <w:r>
        <w:rPr>
          <w:rFonts w:ascii="Calibri" w:eastAsia="Calibri" w:hAnsi="Calibri" w:cs="Calibri"/>
        </w:rPr>
        <w:t></w:t>
      </w:r>
      <w:r>
        <w:t>/</w:t>
      </w:r>
      <w:r>
        <w:rPr>
          <w:rFonts w:ascii="Calibri" w:eastAsia="Calibri" w:hAnsi="Calibri" w:cs="Calibri"/>
        </w:rPr>
        <w:t></w:t>
      </w:r>
      <w:r>
        <w:t xml:space="preserve">) </w:t>
      </w:r>
      <w:r>
        <w:rPr>
          <w:rFonts w:ascii="Calibri" w:eastAsia="Calibri" w:hAnsi="Calibri" w:cs="Calibri"/>
        </w:rPr>
        <w:t></w:t>
      </w:r>
      <w:r>
        <w:t xml:space="preserve"> </w:t>
      </w:r>
      <w:r>
        <w:rPr>
          <w:i/>
        </w:rPr>
        <w:t xml:space="preserve">Zeitschrift für Gemeinschaftsprivatrecht </w:t>
      </w:r>
      <w:r>
        <w:rPr>
          <w:rFonts w:ascii="Calibri" w:eastAsia="Calibri" w:hAnsi="Calibri" w:cs="Calibri"/>
        </w:rPr>
        <w:t></w:t>
      </w:r>
      <w:r>
        <w:t xml:space="preserve">; cf Jansen (n </w:t>
      </w:r>
      <w:r>
        <w:rPr>
          <w:rFonts w:ascii="Calibri" w:eastAsia="Calibri" w:hAnsi="Calibri" w:cs="Calibri"/>
        </w:rPr>
        <w:t></w:t>
      </w:r>
      <w:r>
        <w:t xml:space="preserve">), </w:t>
      </w:r>
      <w:r>
        <w:rPr>
          <w:rFonts w:ascii="Calibri" w:eastAsia="Calibri" w:hAnsi="Calibri" w:cs="Calibri"/>
        </w:rPr>
        <w:t> ff</w:t>
      </w:r>
      <w:r>
        <w:t>.</w:t>
      </w:r>
    </w:p>
  </w:footnote>
  <w:footnote w:id="155">
    <w:p w:rsidR="007479CF" w:rsidRDefault="00CD28B5">
      <w:pPr>
        <w:pStyle w:val="footnotedescription"/>
        <w:spacing w:line="259" w:lineRule="auto"/>
        <w:ind w:right="5" w:firstLine="0"/>
        <w:jc w:val="right"/>
      </w:pPr>
      <w:r>
        <w:rPr>
          <w:rStyle w:val="footnotemark"/>
        </w:rPr>
        <w:footnoteRef/>
      </w:r>
      <w:r>
        <w:t xml:space="preserve"> See eg Ugo Mattei, ‘</w:t>
      </w:r>
      <w:r>
        <w:t>A Transaction Cost Approach to the European Code’, (</w:t>
      </w:r>
      <w:r>
        <w:rPr>
          <w:rFonts w:ascii="Calibri" w:eastAsia="Calibri" w:hAnsi="Calibri" w:cs="Calibri"/>
        </w:rPr>
        <w:t></w:t>
      </w:r>
      <w:r>
        <w:t xml:space="preserve">) </w:t>
      </w:r>
      <w:r>
        <w:rPr>
          <w:i/>
        </w:rPr>
        <w:t>ERPL</w:t>
      </w:r>
      <w:r>
        <w:t xml:space="preserve"> </w:t>
      </w:r>
      <w:r>
        <w:rPr>
          <w:rFonts w:ascii="Calibri" w:eastAsia="Calibri" w:hAnsi="Calibri" w:cs="Calibri"/>
        </w:rPr>
        <w:t></w:t>
      </w:r>
      <w:r>
        <w:t xml:space="preserve">, </w:t>
      </w:r>
      <w:r>
        <w:rPr>
          <w:rFonts w:ascii="Calibri" w:eastAsia="Calibri" w:hAnsi="Calibri" w:cs="Calibri"/>
        </w:rPr>
        <w:t></w:t>
      </w:r>
      <w:r>
        <w:t>.</w:t>
      </w:r>
    </w:p>
  </w:footnote>
  <w:footnote w:id="156">
    <w:p w:rsidR="007479CF" w:rsidRDefault="00CD28B5">
      <w:pPr>
        <w:pStyle w:val="footnotedescription"/>
        <w:spacing w:line="240" w:lineRule="auto"/>
        <w:ind w:right="6"/>
      </w:pPr>
      <w:r>
        <w:rPr>
          <w:rStyle w:val="footnotemark"/>
        </w:rPr>
        <w:footnoteRef/>
      </w:r>
      <w:r>
        <w:t xml:space="preserve"> See eg Hein Kötz, ‘Rechtsvereinheitlichung: Nutzen, Kosten, Methoden, Ziele’, (</w:t>
      </w:r>
      <w:r>
        <w:rPr>
          <w:rFonts w:ascii="Calibri" w:eastAsia="Calibri" w:hAnsi="Calibri" w:cs="Calibri"/>
        </w:rPr>
        <w:t></w:t>
      </w:r>
      <w:r>
        <w:t xml:space="preserve">) </w:t>
      </w:r>
      <w:r>
        <w:rPr>
          <w:rFonts w:ascii="Calibri" w:eastAsia="Calibri" w:hAnsi="Calibri" w:cs="Calibri"/>
        </w:rPr>
        <w:t></w:t>
      </w:r>
      <w:r>
        <w:t xml:space="preserve"> </w:t>
      </w:r>
      <w:r>
        <w:rPr>
          <w:i/>
        </w:rPr>
        <w:t xml:space="preserve">RabelsZ </w:t>
      </w:r>
      <w:r>
        <w:rPr>
          <w:rFonts w:ascii="Calibri" w:eastAsia="Calibri" w:hAnsi="Calibri" w:cs="Calibri"/>
        </w:rPr>
        <w:t></w:t>
      </w:r>
      <w:r>
        <w:t>–</w:t>
      </w:r>
      <w:r>
        <w:rPr>
          <w:rFonts w:ascii="Calibri" w:eastAsia="Calibri" w:hAnsi="Calibri" w:cs="Calibri"/>
        </w:rPr>
        <w:t></w:t>
      </w:r>
      <w:r>
        <w:t>; Christian Kirchner, ‘A “European Civil Code”: Potential, Conceptual, and Method</w:t>
      </w:r>
      <w:r>
        <w:t>ological Implications’, (</w:t>
      </w:r>
      <w:r>
        <w:rPr>
          <w:rFonts w:ascii="Calibri" w:eastAsia="Calibri" w:hAnsi="Calibri" w:cs="Calibri"/>
        </w:rPr>
        <w:t></w:t>
      </w:r>
      <w:r>
        <w:t xml:space="preserve">) </w:t>
      </w:r>
      <w:r>
        <w:rPr>
          <w:rFonts w:ascii="Calibri" w:eastAsia="Calibri" w:hAnsi="Calibri" w:cs="Calibri"/>
        </w:rPr>
        <w:t></w:t>
      </w:r>
      <w:r>
        <w:t xml:space="preserve"> </w:t>
      </w:r>
      <w:r>
        <w:rPr>
          <w:i/>
        </w:rPr>
        <w:t>University of California Davis LR</w:t>
      </w:r>
      <w:r>
        <w:t xml:space="preserve"> </w:t>
      </w:r>
      <w:r>
        <w:rPr>
          <w:rFonts w:ascii="Calibri" w:eastAsia="Calibri" w:hAnsi="Calibri" w:cs="Calibri"/>
        </w:rPr>
        <w:t></w:t>
      </w:r>
      <w:r>
        <w:t xml:space="preserve">, </w:t>
      </w:r>
      <w:r>
        <w:rPr>
          <w:rFonts w:ascii="Calibri" w:eastAsia="Calibri" w:hAnsi="Calibri" w:cs="Calibri"/>
        </w:rPr>
        <w:t> ff</w:t>
      </w:r>
      <w:r>
        <w:t>.</w:t>
      </w:r>
    </w:p>
  </w:footnote>
  <w:footnote w:id="157">
    <w:p w:rsidR="007479CF" w:rsidRDefault="00CD28B5">
      <w:pPr>
        <w:pStyle w:val="footnotedescription"/>
        <w:spacing w:line="257" w:lineRule="auto"/>
        <w:ind w:right="8"/>
      </w:pPr>
      <w:r>
        <w:rPr>
          <w:rStyle w:val="footnotemark"/>
        </w:rPr>
        <w:footnoteRef/>
      </w:r>
      <w:r>
        <w:t xml:space="preserve"> </w:t>
      </w:r>
      <w:r>
        <w:rPr>
          <w:sz w:val="16"/>
          <w:vertAlign w:val="superscript"/>
        </w:rPr>
        <w:t xml:space="preserve">a </w:t>
      </w:r>
      <w:r>
        <w:t>But see now Stefan Vogenauer and Stephen Weatherill, ‘The European Community’s Competence to pursue the Harmonisation of Contract Law – An Empirical contribution to the De</w:t>
      </w:r>
      <w:r>
        <w:t xml:space="preserve">bate’, in Vogenaur and Weatherill (eds), </w:t>
      </w:r>
      <w:r>
        <w:rPr>
          <w:i/>
        </w:rPr>
        <w:t>The Harmonisation of European Contract Law</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ff</w:t>
      </w:r>
      <w:r>
        <w:t>.</w:t>
      </w:r>
    </w:p>
  </w:footnote>
  <w:footnote w:id="158">
    <w:p w:rsidR="007479CF" w:rsidRDefault="00CD28B5">
      <w:pPr>
        <w:pStyle w:val="footnotedescription"/>
        <w:spacing w:line="253" w:lineRule="auto"/>
        <w:ind w:right="8"/>
      </w:pPr>
      <w:r>
        <w:rPr>
          <w:rStyle w:val="footnotemark"/>
        </w:rPr>
        <w:footnoteRef/>
      </w:r>
      <w:r>
        <w:t xml:space="preserve"> For use of functionalist comparative law here see Franco Ferrari, ‘The Interaction between the United Nations Convention on Contracts for the Interna</w:t>
      </w:r>
      <w:r>
        <w:t xml:space="preserve">tional Sale of Goods and Domestic Remedies (Rescission for Mistake and Remedies in Torts)’ (forthcoming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Issue </w:t>
      </w:r>
      <w:r>
        <w:rPr>
          <w:rFonts w:ascii="Calibri" w:eastAsia="Calibri" w:hAnsi="Calibri" w:cs="Calibri"/>
        </w:rPr>
        <w:t></w:t>
      </w:r>
      <w:r>
        <w:t>.</w:t>
      </w:r>
    </w:p>
  </w:footnote>
  <w:footnote w:id="159">
    <w:p w:rsidR="007479CF" w:rsidRDefault="00CD28B5">
      <w:pPr>
        <w:pStyle w:val="footnotedescription"/>
        <w:spacing w:after="3" w:line="259" w:lineRule="auto"/>
        <w:ind w:left="175" w:firstLine="0"/>
        <w:jc w:val="left"/>
      </w:pPr>
      <w:r>
        <w:rPr>
          <w:rStyle w:val="footnotemark"/>
        </w:rPr>
        <w:footnoteRef/>
      </w:r>
      <w:r>
        <w:t xml:space="preserve"> Below, pp </w:t>
      </w:r>
      <w:r>
        <w:rPr>
          <w:rFonts w:ascii="Calibri" w:eastAsia="Calibri" w:hAnsi="Calibri" w:cs="Calibri"/>
        </w:rPr>
        <w:t></w:t>
      </w:r>
      <w:r>
        <w:t xml:space="preserve"> f.</w:t>
      </w:r>
    </w:p>
  </w:footnote>
  <w:footnote w:id="160">
    <w:p w:rsidR="007479CF" w:rsidRDefault="00CD28B5">
      <w:pPr>
        <w:pStyle w:val="footnotedescription"/>
        <w:spacing w:line="275" w:lineRule="auto"/>
      </w:pPr>
      <w:r>
        <w:rPr>
          <w:rStyle w:val="footnotemark"/>
        </w:rPr>
        <w:footnoteRef/>
      </w:r>
      <w:r>
        <w:t xml:space="preserve"> cf the examples of education degrees and data protection in Scheiwe, </w:t>
      </w:r>
      <w:r>
        <w:rPr>
          <w:rFonts w:ascii="Calibri" w:eastAsia="Calibri" w:hAnsi="Calibri" w:cs="Calibri"/>
        </w:rPr>
        <w:t></w:t>
      </w:r>
      <w:r>
        <w:t xml:space="preserve"> </w:t>
      </w:r>
      <w:r>
        <w:rPr>
          <w:i/>
        </w:rPr>
        <w:t>Kritische Vierteljahresschrift fü</w:t>
      </w:r>
      <w:r>
        <w:rPr>
          <w:i/>
        </w:rPr>
        <w:t>r Gesetzgebung und Rechtswissenschaft</w:t>
      </w:r>
      <w:r>
        <w:t xml:space="preserve"> </w:t>
      </w:r>
      <w:r>
        <w:rPr>
          <w:rFonts w:ascii="Calibri" w:eastAsia="Calibri" w:hAnsi="Calibri" w:cs="Calibri"/>
        </w:rPr>
        <w:t xml:space="preserve"> </w:t>
      </w:r>
      <w:r>
        <w:t>f.</w:t>
      </w:r>
    </w:p>
  </w:footnote>
  <w:footnote w:id="161">
    <w:p w:rsidR="007479CF" w:rsidRDefault="00CD28B5">
      <w:pPr>
        <w:pStyle w:val="footnotedescription"/>
        <w:spacing w:line="246" w:lineRule="auto"/>
        <w:ind w:right="3"/>
      </w:pPr>
      <w:r>
        <w:rPr>
          <w:rStyle w:val="footnotemark"/>
        </w:rPr>
        <w:footnoteRef/>
      </w:r>
      <w:r>
        <w:t xml:space="preserve"> Gemma Aiol</w:t>
      </w:r>
      <w:r>
        <w:rPr>
          <w:rFonts w:ascii="Calibri" w:eastAsia="Calibri" w:hAnsi="Calibri" w:cs="Calibri"/>
        </w:rPr>
        <w:t>fi</w:t>
      </w:r>
      <w:r>
        <w:t xml:space="preserve"> and Mark Pieth, ‘How to Make a Convention Work: the Organisation for Economic Co-operation and Development Recommendation and Convention on Bribery as an Example of a New Horizon in International L</w:t>
      </w:r>
      <w:r>
        <w:t xml:space="preserve">aw’, in Cyrille Fijnaut and Leo Huberts (eds), </w:t>
      </w:r>
      <w:r>
        <w:rPr>
          <w:i/>
        </w:rPr>
        <w:t>Corruption, Integrity and Law Enforcement</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 xml:space="preserve">; Mireille Delmas-Marty, </w:t>
      </w:r>
      <w:r>
        <w:rPr>
          <w:i/>
        </w:rPr>
        <w:t xml:space="preserve">Le relatif et l’universel </w:t>
      </w:r>
      <w:r>
        <w:t>(</w:t>
      </w:r>
      <w:r>
        <w:rPr>
          <w:rFonts w:ascii="Calibri" w:eastAsia="Calibri" w:hAnsi="Calibri" w:cs="Calibri"/>
        </w:rPr>
        <w:t></w:t>
      </w:r>
      <w:r>
        <w:t xml:space="preserve">), </w:t>
      </w:r>
      <w:r>
        <w:rPr>
          <w:rFonts w:ascii="Calibri" w:eastAsia="Calibri" w:hAnsi="Calibri" w:cs="Calibri"/>
        </w:rPr>
        <w:t></w:t>
      </w:r>
      <w:r>
        <w:t>–</w:t>
      </w:r>
      <w:r>
        <w:rPr>
          <w:rFonts w:ascii="Calibri" w:eastAsia="Calibri" w:hAnsi="Calibri" w:cs="Calibri"/>
        </w:rPr>
        <w:t></w:t>
      </w:r>
      <w:r>
        <w:t>.</w:t>
      </w:r>
    </w:p>
  </w:footnote>
  <w:footnote w:id="162">
    <w:p w:rsidR="007479CF" w:rsidRDefault="00CD28B5">
      <w:pPr>
        <w:pStyle w:val="footnotedescription"/>
        <w:spacing w:line="248" w:lineRule="auto"/>
      </w:pPr>
      <w:r>
        <w:rPr>
          <w:rStyle w:val="footnotemark"/>
        </w:rPr>
        <w:footnoteRef/>
      </w:r>
      <w:r>
        <w:t xml:space="preserve"> </w:t>
      </w:r>
      <w:r>
        <w:rPr>
          <w:i/>
        </w:rPr>
        <w:t>Japan: Trade in Semi-conductors</w:t>
      </w:r>
      <w:r>
        <w:t xml:space="preserve">, Report of the Panel adopted on </w:t>
      </w:r>
      <w:r>
        <w:rPr>
          <w:rFonts w:ascii="Calibri" w:eastAsia="Calibri" w:hAnsi="Calibri" w:cs="Calibri"/>
        </w:rPr>
        <w:t></w:t>
      </w:r>
      <w:r>
        <w:t xml:space="preserve"> May </w:t>
      </w:r>
      <w:r>
        <w:rPr>
          <w:rFonts w:ascii="Calibri" w:eastAsia="Calibri" w:hAnsi="Calibri" w:cs="Calibri"/>
        </w:rPr>
        <w:t></w:t>
      </w:r>
      <w:r>
        <w:t>, L/</w:t>
      </w:r>
      <w:r>
        <w:rPr>
          <w:rFonts w:ascii="Calibri" w:eastAsia="Calibri" w:hAnsi="Calibri" w:cs="Calibri"/>
        </w:rPr>
        <w:t></w:t>
      </w:r>
      <w:r>
        <w:t xml:space="preserve">, Basic Instruments and Selected Documents </w:t>
      </w:r>
      <w:r>
        <w:rPr>
          <w:rFonts w:ascii="Calibri" w:eastAsia="Calibri" w:hAnsi="Calibri" w:cs="Calibri"/>
        </w:rPr>
        <w:t></w:t>
      </w:r>
      <w:r>
        <w:t>S/</w:t>
      </w:r>
      <w:r>
        <w:rPr>
          <w:rFonts w:ascii="Calibri" w:eastAsia="Calibri" w:hAnsi="Calibri" w:cs="Calibri"/>
        </w:rPr>
        <w:t></w:t>
      </w:r>
      <w:r>
        <w:t xml:space="preserve">, especially nn </w:t>
      </w:r>
      <w:r>
        <w:rPr>
          <w:rFonts w:ascii="Calibri" w:eastAsia="Calibri" w:hAnsi="Calibri" w:cs="Calibri"/>
        </w:rPr>
        <w:t></w:t>
      </w:r>
      <w:r>
        <w:t xml:space="preserve">, </w:t>
      </w:r>
      <w:r>
        <w:rPr>
          <w:rFonts w:ascii="Calibri" w:eastAsia="Calibri" w:hAnsi="Calibri" w:cs="Calibri"/>
        </w:rPr>
        <w:t></w:t>
      </w:r>
      <w:r>
        <w:t>.</w:t>
      </w:r>
    </w:p>
  </w:footnote>
  <w:footnote w:id="163">
    <w:p w:rsidR="007479CF" w:rsidRDefault="00CD28B5">
      <w:pPr>
        <w:pStyle w:val="footnotedescription"/>
        <w:spacing w:line="259" w:lineRule="auto"/>
        <w:ind w:left="175" w:firstLine="0"/>
        <w:jc w:val="left"/>
      </w:pPr>
      <w:r>
        <w:rPr>
          <w:rStyle w:val="footnotemark"/>
        </w:rPr>
        <w:footnoteRef/>
      </w:r>
      <w:r>
        <w:t xml:space="preserve"> Martijn W. Hesselink, </w:t>
      </w:r>
      <w:r>
        <w:rPr>
          <w:i/>
        </w:rPr>
        <w:t>The New European Legal Culture</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w:t>
      </w:r>
      <w:r>
        <w:t>.</w:t>
      </w:r>
    </w:p>
  </w:footnote>
  <w:footnote w:id="164">
    <w:p w:rsidR="007479CF" w:rsidRDefault="00CD28B5">
      <w:pPr>
        <w:pStyle w:val="footnotedescription"/>
        <w:spacing w:line="257" w:lineRule="auto"/>
      </w:pPr>
      <w:r>
        <w:rPr>
          <w:rStyle w:val="footnotemark"/>
        </w:rPr>
        <w:footnoteRef/>
      </w:r>
      <w:r>
        <w:t xml:space="preserve"> For the usefulness of functionalist comparison for con</w:t>
      </w:r>
      <w:r>
        <w:rPr>
          <w:rFonts w:ascii="Calibri" w:eastAsia="Calibri" w:hAnsi="Calibri" w:cs="Calibri"/>
        </w:rPr>
        <w:t>fl</w:t>
      </w:r>
      <w:r>
        <w:t>i</w:t>
      </w:r>
      <w:r>
        <w:t>ct of laws, see Arthur T. von Mehren, ‘An Academic Tradition for Comparative Law?’, (</w:t>
      </w:r>
      <w:r>
        <w:rPr>
          <w:rFonts w:ascii="Calibri" w:eastAsia="Calibri" w:hAnsi="Calibri" w:cs="Calibri"/>
        </w:rPr>
        <w:t></w:t>
      </w:r>
      <w:r>
        <w:t xml:space="preserve">) </w:t>
      </w:r>
      <w:r>
        <w:rPr>
          <w:rFonts w:ascii="Calibri" w:eastAsia="Calibri" w:hAnsi="Calibri" w:cs="Calibri"/>
        </w:rPr>
        <w:t></w:t>
      </w:r>
      <w:r>
        <w:t xml:space="preserve"> </w:t>
      </w:r>
      <w:r>
        <w:rPr>
          <w:i/>
        </w:rPr>
        <w:t>AJCL</w:t>
      </w:r>
      <w:r>
        <w:t xml:space="preserve"> </w:t>
      </w:r>
      <w:r>
        <w:rPr>
          <w:rFonts w:ascii="Calibri" w:eastAsia="Calibri" w:hAnsi="Calibri" w:cs="Calibri"/>
        </w:rPr>
        <w:t></w:t>
      </w:r>
      <w:r>
        <w:t xml:space="preserve">, </w:t>
      </w:r>
      <w:r>
        <w:rPr>
          <w:rFonts w:ascii="Calibri" w:eastAsia="Calibri" w:hAnsi="Calibri" w:cs="Calibri"/>
        </w:rPr>
        <w:t></w:t>
      </w:r>
      <w:r>
        <w:t>.</w:t>
      </w:r>
    </w:p>
  </w:footnote>
  <w:footnote w:id="165">
    <w:p w:rsidR="007479CF" w:rsidRDefault="00CD28B5">
      <w:pPr>
        <w:pStyle w:val="footnotedescription"/>
        <w:spacing w:line="253" w:lineRule="auto"/>
      </w:pPr>
      <w:r>
        <w:rPr>
          <w:rStyle w:val="footnotemark"/>
        </w:rPr>
        <w:footnoteRef/>
      </w:r>
      <w:r>
        <w:t xml:space="preserve"> Ernst Rabel, ‘Das Problem der Quali</w:t>
      </w:r>
      <w:r>
        <w:rPr>
          <w:rFonts w:ascii="Calibri" w:eastAsia="Calibri" w:hAnsi="Calibri" w:cs="Calibri"/>
        </w:rPr>
        <w:t>fi</w:t>
      </w:r>
      <w:r>
        <w:t>kation’,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w:t>
      </w:r>
      <w:r>
        <w:rPr>
          <w:rFonts w:ascii="Calibri" w:eastAsia="Calibri" w:hAnsi="Calibri" w:cs="Calibri"/>
        </w:rPr>
        <w:t></w:t>
      </w:r>
      <w:r>
        <w:t xml:space="preserve">. Graziadei (n </w:t>
      </w:r>
      <w:r>
        <w:rPr>
          <w:rFonts w:ascii="Calibri" w:eastAsia="Calibri" w:hAnsi="Calibri" w:cs="Calibri"/>
        </w:rPr>
        <w:t></w:t>
      </w:r>
      <w:r>
        <w:t xml:space="preserve">), </w:t>
      </w:r>
      <w:r>
        <w:rPr>
          <w:rFonts w:ascii="Calibri" w:eastAsia="Calibri" w:hAnsi="Calibri" w:cs="Calibri"/>
        </w:rPr>
        <w:t> ff</w:t>
      </w:r>
      <w:r>
        <w:t>, even posits that the roots of functional comparat</w:t>
      </w:r>
      <w:r>
        <w:t xml:space="preserve">ive law are in problems of characterization. Yet while early texts on functionalism draw the connection frequently, Rabel himself pointed to his education in legal history as the source for his functional approach: Rabel, ‘In der Schule’ (n </w:t>
      </w:r>
      <w:r>
        <w:rPr>
          <w:rFonts w:ascii="Calibri" w:eastAsia="Calibri" w:hAnsi="Calibri" w:cs="Calibri"/>
        </w:rPr>
        <w:t></w:t>
      </w:r>
      <w:r>
        <w:t xml:space="preserve">) </w:t>
      </w:r>
      <w:r>
        <w:rPr>
          <w:rFonts w:ascii="Calibri" w:eastAsia="Calibri" w:hAnsi="Calibri" w:cs="Calibri"/>
        </w:rPr>
        <w:t xml:space="preserve"> </w:t>
      </w:r>
      <w:r>
        <w:t>f; and</w:t>
      </w:r>
      <w:r>
        <w:t xml:space="preserve"> see Reinhard Zimmermann, ‘ “In der Schule von Ludwig Mitteis”: Ernst Rabels rechtshistorische Ursprünge’,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 xml:space="preserve">, </w:t>
      </w:r>
      <w:r>
        <w:rPr>
          <w:rFonts w:ascii="Calibri" w:eastAsia="Calibri" w:hAnsi="Calibri" w:cs="Calibri"/>
        </w:rPr>
        <w:t xml:space="preserve"> </w:t>
      </w:r>
      <w:r>
        <w:t>f.</w:t>
      </w:r>
    </w:p>
  </w:footnote>
  <w:footnote w:id="166">
    <w:p w:rsidR="007479CF" w:rsidRDefault="00CD28B5">
      <w:pPr>
        <w:pStyle w:val="footnotedescription"/>
        <w:spacing w:after="5" w:line="243" w:lineRule="auto"/>
      </w:pPr>
      <w:r>
        <w:rPr>
          <w:rStyle w:val="footnotemark"/>
        </w:rPr>
        <w:footnoteRef/>
      </w:r>
      <w:r>
        <w:t xml:space="preserve"> BGH (</w:t>
      </w:r>
      <w:r>
        <w:rPr>
          <w:rFonts w:ascii="Calibri" w:eastAsia="Calibri" w:hAnsi="Calibri" w:cs="Calibri"/>
        </w:rPr>
        <w:t></w:t>
      </w:r>
      <w:r>
        <w:t xml:space="preserve"> June </w:t>
      </w:r>
      <w:r>
        <w:rPr>
          <w:rFonts w:ascii="Calibri" w:eastAsia="Calibri" w:hAnsi="Calibri" w:cs="Calibri"/>
        </w:rPr>
        <w:t></w:t>
      </w:r>
      <w:r>
        <w:t xml:space="preserve">), BGHZ </w:t>
      </w:r>
      <w:r>
        <w:rPr>
          <w:rFonts w:ascii="Calibri" w:eastAsia="Calibri" w:hAnsi="Calibri" w:cs="Calibri"/>
        </w:rPr>
        <w:t></w:t>
      </w:r>
      <w:r>
        <w:t xml:space="preserve">, </w:t>
      </w:r>
      <w:r>
        <w:rPr>
          <w:rFonts w:ascii="Calibri" w:eastAsia="Calibri" w:hAnsi="Calibri" w:cs="Calibri"/>
        </w:rPr>
        <w:t></w:t>
      </w:r>
      <w:r>
        <w:t>; English translation in (</w:t>
      </w:r>
      <w:r>
        <w:rPr>
          <w:rFonts w:ascii="Calibri" w:eastAsia="Calibri" w:hAnsi="Calibri" w:cs="Calibri"/>
        </w:rPr>
        <w:t></w:t>
      </w:r>
      <w:r>
        <w:t xml:space="preserve">) </w:t>
      </w:r>
      <w:r>
        <w:rPr>
          <w:rFonts w:ascii="Calibri" w:eastAsia="Calibri" w:hAnsi="Calibri" w:cs="Calibri"/>
        </w:rPr>
        <w:t></w:t>
      </w:r>
      <w:r>
        <w:t xml:space="preserve"> </w:t>
      </w:r>
      <w:r>
        <w:rPr>
          <w:i/>
        </w:rPr>
        <w:t>International Legal Materials</w:t>
      </w:r>
      <w:r>
        <w:t xml:space="preserve"> </w:t>
      </w:r>
      <w:r>
        <w:rPr>
          <w:rFonts w:ascii="Calibri" w:eastAsia="Calibri" w:hAnsi="Calibri" w:cs="Calibri"/>
        </w:rPr>
        <w:t></w:t>
      </w:r>
      <w:r>
        <w:t>.</w:t>
      </w:r>
    </w:p>
  </w:footnote>
  <w:footnote w:id="167">
    <w:p w:rsidR="007479CF" w:rsidRDefault="00CD28B5">
      <w:pPr>
        <w:pStyle w:val="footnotedescription"/>
        <w:spacing w:line="259" w:lineRule="auto"/>
        <w:ind w:left="175" w:firstLine="0"/>
        <w:jc w:val="left"/>
      </w:pPr>
      <w:r>
        <w:rPr>
          <w:rStyle w:val="footnotemark"/>
        </w:rPr>
        <w:footnoteRef/>
      </w:r>
      <w:r>
        <w:t xml:space="preserve"> </w:t>
      </w:r>
      <w:r>
        <w:rPr>
          <w:i/>
        </w:rPr>
        <w:t>Tucci v Club Mediterranee, SA</w:t>
      </w:r>
      <w:r>
        <w:t xml:space="preserve">, </w:t>
      </w:r>
      <w:r>
        <w:rPr>
          <w:rFonts w:ascii="Calibri" w:eastAsia="Calibri" w:hAnsi="Calibri" w:cs="Calibri"/>
        </w:rPr>
        <w:t></w:t>
      </w:r>
      <w:r>
        <w:t xml:space="preserve"> Cal App. </w:t>
      </w:r>
      <w:r>
        <w:rPr>
          <w:rFonts w:ascii="Calibri" w:eastAsia="Calibri" w:hAnsi="Calibri" w:cs="Calibri"/>
        </w:rPr>
        <w:t></w:t>
      </w:r>
      <w:r>
        <w:t xml:space="preserve">th </w:t>
      </w:r>
      <w:r>
        <w:rPr>
          <w:rFonts w:ascii="Calibri" w:eastAsia="Calibri" w:hAnsi="Calibri" w:cs="Calibri"/>
        </w:rPr>
        <w:t></w:t>
      </w:r>
      <w:r>
        <w:t xml:space="preserve">, </w:t>
      </w:r>
      <w:r>
        <w:rPr>
          <w:rFonts w:ascii="Calibri" w:eastAsia="Calibri" w:hAnsi="Calibri" w:cs="Calibri"/>
        </w:rPr>
        <w:t xml:space="preserve"> </w:t>
      </w:r>
      <w:r>
        <w:t>f.</w:t>
      </w:r>
    </w:p>
  </w:footnote>
  <w:footnote w:id="168">
    <w:p w:rsidR="007479CF" w:rsidRDefault="00CD28B5">
      <w:pPr>
        <w:pStyle w:val="footnotedescription"/>
        <w:spacing w:line="248" w:lineRule="auto"/>
        <w:ind w:right="5"/>
      </w:pPr>
      <w:r>
        <w:rPr>
          <w:rStyle w:val="footnotemark"/>
        </w:rPr>
        <w:footnoteRef/>
      </w:r>
      <w:r>
        <w:t xml:space="preserve"> See eg Mathias Rohe, ‘</w:t>
      </w:r>
      <w:r>
        <w:t xml:space="preserve">The Application of Islamic Family Law in German Courts and its Compatibility with German Public Policy’, in Jürgen Basedow and Nadjma Yassari (eds), </w:t>
      </w:r>
      <w:r>
        <w:rPr>
          <w:i/>
        </w:rPr>
        <w:t>Iranian Family and Succession Laws and their Application in German Courts</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ff</w:t>
      </w:r>
      <w:r>
        <w:t>. But see Cass C</w:t>
      </w:r>
      <w:r>
        <w:t>iv (</w:t>
      </w:r>
      <w:r>
        <w:rPr>
          <w:rFonts w:ascii="Calibri" w:eastAsia="Calibri" w:hAnsi="Calibri" w:cs="Calibri"/>
        </w:rPr>
        <w:t></w:t>
      </w:r>
      <w:r>
        <w:t xml:space="preserve"> February </w:t>
      </w:r>
      <w:r>
        <w:rPr>
          <w:rFonts w:ascii="Calibri" w:eastAsia="Calibri" w:hAnsi="Calibri" w:cs="Calibri"/>
        </w:rPr>
        <w:t></w:t>
      </w:r>
      <w:r>
        <w:t xml:space="preserve">), D </w:t>
      </w:r>
      <w:r>
        <w:rPr>
          <w:rFonts w:ascii="Calibri" w:eastAsia="Calibri" w:hAnsi="Calibri" w:cs="Calibri"/>
        </w:rPr>
        <w:t></w:t>
      </w:r>
      <w:r>
        <w:t xml:space="preserve">, </w:t>
      </w:r>
      <w:r>
        <w:rPr>
          <w:rFonts w:ascii="Calibri" w:eastAsia="Calibri" w:hAnsi="Calibri" w:cs="Calibri"/>
        </w:rPr>
        <w:t></w:t>
      </w:r>
      <w:r>
        <w:t>.</w:t>
      </w:r>
    </w:p>
  </w:footnote>
  <w:footnote w:id="169">
    <w:p w:rsidR="007479CF" w:rsidRDefault="00CD28B5">
      <w:pPr>
        <w:pStyle w:val="footnotedescription"/>
        <w:spacing w:line="241" w:lineRule="auto"/>
        <w:ind w:right="1"/>
      </w:pPr>
      <w:r>
        <w:rPr>
          <w:rStyle w:val="footnotemark"/>
        </w:rPr>
        <w:footnoteRef/>
      </w:r>
      <w:r>
        <w:t xml:space="preserve"> Hélène Gaudemet-Tallon, ‘De nouvelles fonctions pour l’équivalence en droit international privé?’, in </w:t>
      </w:r>
      <w:r>
        <w:rPr>
          <w:i/>
        </w:rPr>
        <w:t>Le droit international privé: esprit et méthodes. Mélanges en l’honneur de Paul Lagarde</w:t>
      </w:r>
      <w:r>
        <w:t xml:space="preserve"> (</w:t>
      </w:r>
      <w:r>
        <w:rPr>
          <w:rFonts w:ascii="Calibri" w:eastAsia="Calibri" w:hAnsi="Calibri" w:cs="Calibri"/>
        </w:rPr>
        <w:t></w:t>
      </w:r>
      <w:r>
        <w:t xml:space="preserve">), </w:t>
      </w:r>
      <w:r>
        <w:rPr>
          <w:rFonts w:ascii="Calibri" w:eastAsia="Calibri" w:hAnsi="Calibri" w:cs="Calibri"/>
        </w:rPr>
        <w:t></w:t>
      </w:r>
      <w:r>
        <w:t xml:space="preserve">, </w:t>
      </w:r>
      <w:r>
        <w:rPr>
          <w:rFonts w:ascii="Calibri" w:eastAsia="Calibri" w:hAnsi="Calibri" w:cs="Calibri"/>
        </w:rPr>
        <w:t> ff</w:t>
      </w:r>
      <w:r>
        <w:t>.</w:t>
      </w:r>
    </w:p>
  </w:footnote>
  <w:footnote w:id="170">
    <w:p w:rsidR="007479CF" w:rsidRDefault="00CD28B5">
      <w:pPr>
        <w:pStyle w:val="footnotedescription"/>
        <w:spacing w:line="259" w:lineRule="auto"/>
        <w:ind w:left="175" w:firstLine="0"/>
        <w:jc w:val="left"/>
      </w:pPr>
      <w:r>
        <w:rPr>
          <w:rStyle w:val="footnotemark"/>
        </w:rPr>
        <w:footnoteRef/>
      </w:r>
      <w:r>
        <w:t xml:space="preserve"> Hill,</w:t>
      </w:r>
      <w:r>
        <w:t xml:space="preserve"> </w:t>
      </w:r>
      <w:r>
        <w:rPr>
          <w:rFonts w:ascii="Calibri" w:eastAsia="Calibri" w:hAnsi="Calibri" w:cs="Calibri"/>
        </w:rPr>
        <w:t></w:t>
      </w:r>
      <w:r>
        <w:t xml:space="preserve"> </w:t>
      </w:r>
      <w:r>
        <w:rPr>
          <w:i/>
        </w:rPr>
        <w:t>Oxford Journal of Legal Studies</w:t>
      </w:r>
      <w:r>
        <w:t xml:space="preserve"> </w:t>
      </w:r>
      <w:r>
        <w:rPr>
          <w:rFonts w:ascii="Calibri" w:eastAsia="Calibri" w:hAnsi="Calibri" w:cs="Calibri"/>
        </w:rPr>
        <w:t xml:space="preserve"> </w:t>
      </w:r>
      <w:r>
        <w:t>f.</w:t>
      </w:r>
    </w:p>
  </w:footnote>
  <w:footnote w:id="171">
    <w:p w:rsidR="007479CF" w:rsidRDefault="00CD28B5">
      <w:pPr>
        <w:pStyle w:val="footnotedescription"/>
        <w:spacing w:line="257" w:lineRule="auto"/>
      </w:pPr>
      <w:r>
        <w:rPr>
          <w:rStyle w:val="footnotemark"/>
        </w:rPr>
        <w:footnoteRef/>
      </w:r>
      <w:r>
        <w:t xml:space="preserve"> David Kennedy, ‘New Approaches to Comparative Law: Comparativism and International Governance’, </w:t>
      </w:r>
      <w:r>
        <w:rPr>
          <w:rFonts w:ascii="Calibri" w:eastAsia="Calibri" w:hAnsi="Calibri" w:cs="Calibri"/>
        </w:rPr>
        <w:t></w:t>
      </w:r>
      <w:r>
        <w:t xml:space="preserve"> </w:t>
      </w:r>
      <w:r>
        <w:rPr>
          <w:i/>
        </w:rPr>
        <w:t>Utah LR</w:t>
      </w:r>
      <w:r>
        <w:t xml:space="preserve"> </w:t>
      </w:r>
      <w:r>
        <w:rPr>
          <w:rFonts w:ascii="Calibri" w:eastAsia="Calibri" w:hAnsi="Calibri" w:cs="Calibri"/>
        </w:rPr>
        <w:t></w:t>
      </w:r>
      <w:r>
        <w:t xml:space="preserve">, </w:t>
      </w:r>
      <w:r>
        <w:rPr>
          <w:rFonts w:ascii="Calibri" w:eastAsia="Calibri" w:hAnsi="Calibri" w:cs="Calibri"/>
        </w:rPr>
        <w:t> ff</w:t>
      </w:r>
      <w:r>
        <w:t>; but see, for a promising proposal, Richard Buxbaum, ‘Die</w:t>
      </w:r>
    </w:p>
    <w:p w:rsidR="007479CF" w:rsidRDefault="00CD28B5">
      <w:pPr>
        <w:pStyle w:val="footnotedescription"/>
        <w:spacing w:line="259" w:lineRule="auto"/>
        <w:ind w:firstLine="0"/>
      </w:pPr>
      <w:r>
        <w:t>Rechtsvergleichung zwischer natio</w:t>
      </w:r>
      <w:r>
        <w:t>nalem staat und internationaler Wirtschaft’, (</w:t>
      </w:r>
      <w:r>
        <w:rPr>
          <w:rFonts w:ascii="Calibri" w:eastAsia="Calibri" w:hAnsi="Calibri" w:cs="Calibri"/>
        </w:rPr>
        <w:t></w:t>
      </w:r>
      <w:r>
        <w:t xml:space="preserve">) </w:t>
      </w:r>
      <w:r>
        <w:rPr>
          <w:rFonts w:ascii="Calibri" w:eastAsia="Calibri" w:hAnsi="Calibri" w:cs="Calibri"/>
        </w:rPr>
        <w:t></w:t>
      </w:r>
      <w:r>
        <w:t xml:space="preserve"> </w:t>
      </w:r>
      <w:r>
        <w:rPr>
          <w:i/>
        </w:rPr>
        <w:t>RabelsZ</w:t>
      </w:r>
      <w:r>
        <w:t xml:space="preserve"> </w:t>
      </w:r>
      <w:r>
        <w:rPr>
          <w:rFonts w:ascii="Calibri" w:eastAsia="Calibri" w:hAnsi="Calibri" w:cs="Calibri"/>
        </w:rPr>
        <w:t></w:t>
      </w:r>
      <w:r>
        <w:t>,</w:t>
      </w:r>
    </w:p>
    <w:p w:rsidR="007479CF" w:rsidRDefault="00CD28B5">
      <w:pPr>
        <w:pStyle w:val="footnotedescription"/>
        <w:spacing w:line="259" w:lineRule="auto"/>
        <w:ind w:firstLine="0"/>
        <w:jc w:val="left"/>
      </w:pPr>
      <w:r>
        <w:rPr>
          <w:rFonts w:ascii="Calibri" w:eastAsia="Calibri" w:hAnsi="Calibri" w:cs="Calibri"/>
        </w:rPr>
        <w:t></w:t>
      </w:r>
      <w:r>
        <w:t xml:space="preserve"> </w:t>
      </w:r>
      <w:r>
        <w:rPr>
          <w:rFonts w:ascii="Calibri" w:eastAsia="Calibri" w:hAnsi="Calibri" w:cs="Calibri"/>
        </w:rPr>
        <w:t>ff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79CF" w:rsidRDefault="00CD28B5">
    <w:pPr>
      <w:spacing w:after="0" w:line="259" w:lineRule="auto"/>
      <w:ind w:left="83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1439101</wp:posOffset>
              </wp:positionH>
              <wp:positionV relativeFrom="page">
                <wp:posOffset>1157262</wp:posOffset>
              </wp:positionV>
              <wp:extent cx="4495800" cy="3810"/>
              <wp:effectExtent l="0" t="0" r="0" b="0"/>
              <wp:wrapSquare wrapText="bothSides"/>
              <wp:docPr id="65553" name="Group 65553"/>
              <wp:cNvGraphicFramePr/>
              <a:graphic xmlns:a="http://schemas.openxmlformats.org/drawingml/2006/main">
                <a:graphicData uri="http://schemas.microsoft.com/office/word/2010/wordprocessingGroup">
                  <wpg:wgp>
                    <wpg:cNvGrpSpPr/>
                    <wpg:grpSpPr>
                      <a:xfrm>
                        <a:off x="0" y="0"/>
                        <a:ext cx="4495800" cy="3810"/>
                        <a:chOff x="0" y="0"/>
                        <a:chExt cx="4495800" cy="3810"/>
                      </a:xfrm>
                    </wpg:grpSpPr>
                    <wps:wsp>
                      <wps:cNvPr id="65554" name="Shape 65554"/>
                      <wps:cNvSpPr/>
                      <wps:spPr>
                        <a:xfrm>
                          <a:off x="0" y="0"/>
                          <a:ext cx="4495800" cy="0"/>
                        </a:xfrm>
                        <a:custGeom>
                          <a:avLst/>
                          <a:gdLst/>
                          <a:ahLst/>
                          <a:cxnLst/>
                          <a:rect l="0" t="0" r="0" b="0"/>
                          <a:pathLst>
                            <a:path w="4495800">
                              <a:moveTo>
                                <a:pt x="0" y="0"/>
                              </a:moveTo>
                              <a:lnTo>
                                <a:pt x="44958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53" style="width:354pt;height:0.3pt;position:absolute;mso-position-horizontal-relative:page;mso-position-horizontal:absolute;margin-left:113.315pt;mso-position-vertical-relative:page;margin-top:91.123pt;" coordsize="44958,38">
              <v:shape id="Shape 65554" style="position:absolute;width:44958;height:0;left:0;top:0;" coordsize="4495800,0" path="m0,0l4495800,0">
                <v:stroke weight="0.3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127381</wp:posOffset>
              </wp:positionH>
              <wp:positionV relativeFrom="page">
                <wp:posOffset>134112</wp:posOffset>
              </wp:positionV>
              <wp:extent cx="409575" cy="409575"/>
              <wp:effectExtent l="0" t="0" r="0" b="0"/>
              <wp:wrapSquare wrapText="bothSides"/>
              <wp:docPr id="65555" name="Group 65555"/>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56" name="Shape 65556"/>
                      <wps:cNvSpPr/>
                      <wps:spPr>
                        <a:xfrm>
                          <a:off x="409575" y="0"/>
                          <a:ext cx="0" cy="304800"/>
                        </a:xfrm>
                        <a:custGeom>
                          <a:avLst/>
                          <a:gdLst/>
                          <a:ahLst/>
                          <a:cxnLst/>
                          <a:rect l="0" t="0" r="0" b="0"/>
                          <a:pathLst>
                            <a:path h="304800">
                              <a:moveTo>
                                <a:pt x="0" y="30480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57" name="Shape 65557"/>
                      <wps:cNvSpPr/>
                      <wps:spPr>
                        <a:xfrm>
                          <a:off x="0" y="409575"/>
                          <a:ext cx="304800" cy="0"/>
                        </a:xfrm>
                        <a:custGeom>
                          <a:avLst/>
                          <a:gdLst/>
                          <a:ahLst/>
                          <a:cxnLst/>
                          <a:rect l="0" t="0" r="0" b="0"/>
                          <a:pathLst>
                            <a:path w="304800">
                              <a:moveTo>
                                <a:pt x="304800"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55" style="width:32.25pt;height:32.25pt;position:absolute;mso-position-horizontal-relative:page;mso-position-horizontal:absolute;margin-left:10.03pt;mso-position-vertical-relative:page;margin-top:10.56pt;" coordsize="4095,4095">
              <v:shape id="Shape 65556" style="position:absolute;width:0;height:3048;left:4095;top:0;" coordsize="0,304800" path="m0,304800l0,0">
                <v:stroke weight="0.5pt" endcap="flat" joinstyle="miter" miterlimit="10" on="true" color="#000000"/>
                <v:fill on="false" color="#000000" opacity="0"/>
              </v:shape>
              <v:shape id="Shape 65557" style="position:absolute;width:3048;height:0;left:0;top:4095;" coordsize="304800,0" path="m304800,0l0,0">
                <v:stroke weight="0.5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6700076</wp:posOffset>
              </wp:positionH>
              <wp:positionV relativeFrom="page">
                <wp:posOffset>134112</wp:posOffset>
              </wp:positionV>
              <wp:extent cx="409575" cy="409575"/>
              <wp:effectExtent l="0" t="0" r="0" b="0"/>
              <wp:wrapSquare wrapText="bothSides"/>
              <wp:docPr id="65558" name="Group 65558"/>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59" name="Shape 65559"/>
                      <wps:cNvSpPr/>
                      <wps:spPr>
                        <a:xfrm>
                          <a:off x="0" y="0"/>
                          <a:ext cx="0" cy="304800"/>
                        </a:xfrm>
                        <a:custGeom>
                          <a:avLst/>
                          <a:gdLst/>
                          <a:ahLst/>
                          <a:cxnLst/>
                          <a:rect l="0" t="0" r="0" b="0"/>
                          <a:pathLst>
                            <a:path h="304800">
                              <a:moveTo>
                                <a:pt x="0" y="30480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60" name="Shape 65560"/>
                      <wps:cNvSpPr/>
                      <wps:spPr>
                        <a:xfrm>
                          <a:off x="104775" y="409575"/>
                          <a:ext cx="304800" cy="0"/>
                        </a:xfrm>
                        <a:custGeom>
                          <a:avLst/>
                          <a:gdLst/>
                          <a:ahLst/>
                          <a:cxnLst/>
                          <a:rect l="0" t="0" r="0" b="0"/>
                          <a:pathLst>
                            <a:path w="304800">
                              <a:moveTo>
                                <a:pt x="0" y="0"/>
                              </a:moveTo>
                              <a:lnTo>
                                <a:pt x="304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58" style="width:32.25pt;height:32.25pt;position:absolute;mso-position-horizontal-relative:page;mso-position-horizontal:absolute;margin-left:527.565pt;mso-position-vertical-relative:page;margin-top:10.56pt;" coordsize="4095,4095">
              <v:shape id="Shape 65559" style="position:absolute;width:0;height:3048;left:0;top:0;" coordsize="0,304800" path="m0,304800l0,0">
                <v:stroke weight="0.5pt" endcap="flat" joinstyle="miter" miterlimit="10" on="true" color="#000000"/>
                <v:fill on="false" color="#000000" opacity="0"/>
              </v:shape>
              <v:shape id="Shape 65560" style="position:absolute;width:3048;height:0;left:1047;top:4095;" coordsize="304800,0" path="m0,0l304800,0">
                <v:stroke weight="0.5pt" endcap="flat" joinstyle="miter" miterlimit="10" on="true" color="#000000"/>
                <v:fill on="false" color="#000000" opacity="0"/>
              </v:shape>
              <w10:wrap type="square"/>
            </v:group>
          </w:pict>
        </mc:Fallback>
      </mc:AlternateContent>
    </w:r>
    <w:r>
      <w:rPr>
        <w:rFonts w:ascii="Calibri" w:eastAsia="Calibri" w:hAnsi="Calibri" w:cs="Calibri"/>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79CF" w:rsidRDefault="00CD28B5">
    <w:pPr>
      <w:spacing w:after="0" w:line="259" w:lineRule="auto"/>
      <w:ind w:left="3762"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1302131</wp:posOffset>
              </wp:positionH>
              <wp:positionV relativeFrom="page">
                <wp:posOffset>1157262</wp:posOffset>
              </wp:positionV>
              <wp:extent cx="4495800" cy="3810"/>
              <wp:effectExtent l="0" t="0" r="0" b="0"/>
              <wp:wrapSquare wrapText="bothSides"/>
              <wp:docPr id="65529" name="Group 65529"/>
              <wp:cNvGraphicFramePr/>
              <a:graphic xmlns:a="http://schemas.openxmlformats.org/drawingml/2006/main">
                <a:graphicData uri="http://schemas.microsoft.com/office/word/2010/wordprocessingGroup">
                  <wpg:wgp>
                    <wpg:cNvGrpSpPr/>
                    <wpg:grpSpPr>
                      <a:xfrm>
                        <a:off x="0" y="0"/>
                        <a:ext cx="4495800" cy="3810"/>
                        <a:chOff x="0" y="0"/>
                        <a:chExt cx="4495800" cy="3810"/>
                      </a:xfrm>
                    </wpg:grpSpPr>
                    <wps:wsp>
                      <wps:cNvPr id="65530" name="Shape 65530"/>
                      <wps:cNvSpPr/>
                      <wps:spPr>
                        <a:xfrm>
                          <a:off x="0" y="0"/>
                          <a:ext cx="4495800" cy="0"/>
                        </a:xfrm>
                        <a:custGeom>
                          <a:avLst/>
                          <a:gdLst/>
                          <a:ahLst/>
                          <a:cxnLst/>
                          <a:rect l="0" t="0" r="0" b="0"/>
                          <a:pathLst>
                            <a:path w="4495800">
                              <a:moveTo>
                                <a:pt x="0" y="0"/>
                              </a:moveTo>
                              <a:lnTo>
                                <a:pt x="44958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29" style="width:354pt;height:0.3pt;position:absolute;mso-position-horizontal-relative:page;mso-position-horizontal:absolute;margin-left:102.53pt;mso-position-vertical-relative:page;margin-top:91.123pt;" coordsize="44958,38">
              <v:shape id="Shape 65530" style="position:absolute;width:44958;height:0;left:0;top:0;" coordsize="4495800,0" path="m0,0l4495800,0">
                <v:stroke weight="0.3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127381</wp:posOffset>
              </wp:positionH>
              <wp:positionV relativeFrom="page">
                <wp:posOffset>134112</wp:posOffset>
              </wp:positionV>
              <wp:extent cx="409575" cy="409575"/>
              <wp:effectExtent l="0" t="0" r="0" b="0"/>
              <wp:wrapSquare wrapText="bothSides"/>
              <wp:docPr id="65531" name="Group 65531"/>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32" name="Shape 65532"/>
                      <wps:cNvSpPr/>
                      <wps:spPr>
                        <a:xfrm>
                          <a:off x="409575" y="0"/>
                          <a:ext cx="0" cy="304800"/>
                        </a:xfrm>
                        <a:custGeom>
                          <a:avLst/>
                          <a:gdLst/>
                          <a:ahLst/>
                          <a:cxnLst/>
                          <a:rect l="0" t="0" r="0" b="0"/>
                          <a:pathLst>
                            <a:path h="304800">
                              <a:moveTo>
                                <a:pt x="0" y="30480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33" name="Shape 65533"/>
                      <wps:cNvSpPr/>
                      <wps:spPr>
                        <a:xfrm>
                          <a:off x="0" y="409575"/>
                          <a:ext cx="304800" cy="0"/>
                        </a:xfrm>
                        <a:custGeom>
                          <a:avLst/>
                          <a:gdLst/>
                          <a:ahLst/>
                          <a:cxnLst/>
                          <a:rect l="0" t="0" r="0" b="0"/>
                          <a:pathLst>
                            <a:path w="304800">
                              <a:moveTo>
                                <a:pt x="304800"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31" style="width:32.25pt;height:32.25pt;position:absolute;mso-position-horizontal-relative:page;mso-position-horizontal:absolute;margin-left:10.03pt;mso-position-vertical-relative:page;margin-top:10.56pt;" coordsize="4095,4095">
              <v:shape id="Shape 65532" style="position:absolute;width:0;height:3048;left:4095;top:0;" coordsize="0,304800" path="m0,304800l0,0">
                <v:stroke weight="0.5pt" endcap="flat" joinstyle="miter" miterlimit="10" on="true" color="#000000"/>
                <v:fill on="false" color="#000000" opacity="0"/>
              </v:shape>
              <v:shape id="Shape 65533" style="position:absolute;width:3048;height:0;left:0;top:4095;" coordsize="304800,0" path="m304800,0l0,0">
                <v:stroke weight="0.5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6700076</wp:posOffset>
              </wp:positionH>
              <wp:positionV relativeFrom="page">
                <wp:posOffset>134112</wp:posOffset>
              </wp:positionV>
              <wp:extent cx="409575" cy="409575"/>
              <wp:effectExtent l="0" t="0" r="0" b="0"/>
              <wp:wrapSquare wrapText="bothSides"/>
              <wp:docPr id="65534" name="Group 65534"/>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35" name="Shape 65535"/>
                      <wps:cNvSpPr/>
                      <wps:spPr>
                        <a:xfrm>
                          <a:off x="0" y="0"/>
                          <a:ext cx="0" cy="304800"/>
                        </a:xfrm>
                        <a:custGeom>
                          <a:avLst/>
                          <a:gdLst/>
                          <a:ahLst/>
                          <a:cxnLst/>
                          <a:rect l="0" t="0" r="0" b="0"/>
                          <a:pathLst>
                            <a:path h="304800">
                              <a:moveTo>
                                <a:pt x="0" y="30480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36" name="Shape 65536"/>
                      <wps:cNvSpPr/>
                      <wps:spPr>
                        <a:xfrm>
                          <a:off x="104775" y="409575"/>
                          <a:ext cx="304800" cy="0"/>
                        </a:xfrm>
                        <a:custGeom>
                          <a:avLst/>
                          <a:gdLst/>
                          <a:ahLst/>
                          <a:cxnLst/>
                          <a:rect l="0" t="0" r="0" b="0"/>
                          <a:pathLst>
                            <a:path w="304800">
                              <a:moveTo>
                                <a:pt x="0" y="0"/>
                              </a:moveTo>
                              <a:lnTo>
                                <a:pt x="304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34" style="width:32.25pt;height:32.25pt;position:absolute;mso-position-horizontal-relative:page;mso-position-horizontal:absolute;margin-left:527.565pt;mso-position-vertical-relative:page;margin-top:10.56pt;" coordsize="4095,4095">
              <v:shape id="Shape 65535" style="position:absolute;width:0;height:3048;left:0;top:0;" coordsize="0,304800" path="m0,304800l0,0">
                <v:stroke weight="0.5pt" endcap="flat" joinstyle="miter" miterlimit="10" on="true" color="#000000"/>
                <v:fill on="false" color="#000000" opacity="0"/>
              </v:shape>
              <v:shape id="Shape 65536" style="position:absolute;width:3048;height:0;left:1047;top:4095;" coordsize="304800,0" path="m0,0l304800,0">
                <v:stroke weight="0.5pt" endcap="flat" joinstyle="miter" miterlimit="10" on="true" color="#000000"/>
                <v:fill on="false" color="#000000" opacity="0"/>
              </v:shape>
              <w10:wrap type="square"/>
            </v:group>
          </w:pict>
        </mc:Fallback>
      </mc:AlternateContent>
    </w:r>
    <w:r>
      <w:rPr>
        <w:rFonts w:ascii="Calibri" w:eastAsia="Calibri" w:hAnsi="Calibri" w:cs="Calibri"/>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79CF" w:rsidRDefault="00CD28B5">
    <w:pPr>
      <w:spacing w:after="0" w:line="259" w:lineRule="auto"/>
      <w:ind w:left="-2051" w:right="914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127381</wp:posOffset>
              </wp:positionH>
              <wp:positionV relativeFrom="page">
                <wp:posOffset>134163</wp:posOffset>
              </wp:positionV>
              <wp:extent cx="409575" cy="409575"/>
              <wp:effectExtent l="0" t="0" r="0" b="0"/>
              <wp:wrapSquare wrapText="bothSides"/>
              <wp:docPr id="65507" name="Group 65507"/>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08" name="Shape 65508"/>
                      <wps:cNvSpPr/>
                      <wps:spPr>
                        <a:xfrm>
                          <a:off x="409575" y="0"/>
                          <a:ext cx="0" cy="304800"/>
                        </a:xfrm>
                        <a:custGeom>
                          <a:avLst/>
                          <a:gdLst/>
                          <a:ahLst/>
                          <a:cxnLst/>
                          <a:rect l="0" t="0" r="0" b="0"/>
                          <a:pathLst>
                            <a:path h="304800">
                              <a:moveTo>
                                <a:pt x="0" y="30480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09" name="Shape 65509"/>
                      <wps:cNvSpPr/>
                      <wps:spPr>
                        <a:xfrm>
                          <a:off x="0" y="409575"/>
                          <a:ext cx="304800" cy="0"/>
                        </a:xfrm>
                        <a:custGeom>
                          <a:avLst/>
                          <a:gdLst/>
                          <a:ahLst/>
                          <a:cxnLst/>
                          <a:rect l="0" t="0" r="0" b="0"/>
                          <a:pathLst>
                            <a:path w="304800">
                              <a:moveTo>
                                <a:pt x="304800"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07" style="width:32.25pt;height:32.25pt;position:absolute;mso-position-horizontal-relative:page;mso-position-horizontal:absolute;margin-left:10.03pt;mso-position-vertical-relative:page;margin-top:10.564pt;" coordsize="4095,4095">
              <v:shape id="Shape 65508" style="position:absolute;width:0;height:3048;left:4095;top:0;" coordsize="0,304800" path="m0,304800l0,0">
                <v:stroke weight="0.5pt" endcap="flat" joinstyle="miter" miterlimit="10" on="true" color="#000000"/>
                <v:fill on="false" color="#000000" opacity="0"/>
              </v:shape>
              <v:shape id="Shape 65509" style="position:absolute;width:3048;height:0;left:0;top:4095;" coordsize="304800,0" path="m304800,0l0,0">
                <v:stroke weight="0.5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6700076</wp:posOffset>
              </wp:positionH>
              <wp:positionV relativeFrom="page">
                <wp:posOffset>134163</wp:posOffset>
              </wp:positionV>
              <wp:extent cx="409575" cy="409575"/>
              <wp:effectExtent l="0" t="0" r="0" b="0"/>
              <wp:wrapSquare wrapText="bothSides"/>
              <wp:docPr id="65510" name="Group 65510"/>
              <wp:cNvGraphicFramePr/>
              <a:graphic xmlns:a="http://schemas.openxmlformats.org/drawingml/2006/main">
                <a:graphicData uri="http://schemas.microsoft.com/office/word/2010/wordprocessingGroup">
                  <wpg:wgp>
                    <wpg:cNvGrpSpPr/>
                    <wpg:grpSpPr>
                      <a:xfrm>
                        <a:off x="0" y="0"/>
                        <a:ext cx="409575" cy="409575"/>
                        <a:chOff x="0" y="0"/>
                        <a:chExt cx="409575" cy="409575"/>
                      </a:xfrm>
                    </wpg:grpSpPr>
                    <wps:wsp>
                      <wps:cNvPr id="65511" name="Shape 65511"/>
                      <wps:cNvSpPr/>
                      <wps:spPr>
                        <a:xfrm>
                          <a:off x="0" y="0"/>
                          <a:ext cx="0" cy="304800"/>
                        </a:xfrm>
                        <a:custGeom>
                          <a:avLst/>
                          <a:gdLst/>
                          <a:ahLst/>
                          <a:cxnLst/>
                          <a:rect l="0" t="0" r="0" b="0"/>
                          <a:pathLst>
                            <a:path h="304800">
                              <a:moveTo>
                                <a:pt x="0" y="30480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5512" name="Shape 65512"/>
                      <wps:cNvSpPr/>
                      <wps:spPr>
                        <a:xfrm>
                          <a:off x="104775" y="409575"/>
                          <a:ext cx="304800" cy="0"/>
                        </a:xfrm>
                        <a:custGeom>
                          <a:avLst/>
                          <a:gdLst/>
                          <a:ahLst/>
                          <a:cxnLst/>
                          <a:rect l="0" t="0" r="0" b="0"/>
                          <a:pathLst>
                            <a:path w="304800">
                              <a:moveTo>
                                <a:pt x="0" y="0"/>
                              </a:moveTo>
                              <a:lnTo>
                                <a:pt x="304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10" style="width:32.25pt;height:32.25pt;position:absolute;mso-position-horizontal-relative:page;mso-position-horizontal:absolute;margin-left:527.565pt;mso-position-vertical-relative:page;margin-top:10.564pt;" coordsize="4095,4095">
              <v:shape id="Shape 65511" style="position:absolute;width:0;height:3048;left:0;top:0;" coordsize="0,304800" path="m0,304800l0,0">
                <v:stroke weight="0.5pt" endcap="flat" joinstyle="miter" miterlimit="10" on="true" color="#000000"/>
                <v:fill on="false" color="#000000" opacity="0"/>
              </v:shape>
              <v:shape id="Shape 65512" style="position:absolute;width:3048;height:0;left:1047;top:4095;" coordsize="304800,0" path="m0,0l304800,0">
                <v:stroke weight="0.5pt" endcap="flat" joinstyle="miter" miterlimit="10" on="true" color="#000000"/>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07A6F"/>
    <w:multiLevelType w:val="hybridMultilevel"/>
    <w:tmpl w:val="B37E6092"/>
    <w:lvl w:ilvl="0" w:tplc="33603BD6">
      <w:start w:val="7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11ECE0A4">
      <w:start w:val="1"/>
      <w:numFmt w:val="lowerLetter"/>
      <w:lvlText w:val="%2"/>
      <w:lvlJc w:val="left"/>
      <w:pPr>
        <w:ind w:left="125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2" w:tplc="A5E0F53C">
      <w:start w:val="1"/>
      <w:numFmt w:val="lowerRoman"/>
      <w:lvlText w:val="%3"/>
      <w:lvlJc w:val="left"/>
      <w:pPr>
        <w:ind w:left="197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3" w:tplc="92CC404A">
      <w:start w:val="1"/>
      <w:numFmt w:val="decimal"/>
      <w:lvlText w:val="%4"/>
      <w:lvlJc w:val="left"/>
      <w:pPr>
        <w:ind w:left="269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4" w:tplc="DB92F84C">
      <w:start w:val="1"/>
      <w:numFmt w:val="lowerLetter"/>
      <w:lvlText w:val="%5"/>
      <w:lvlJc w:val="left"/>
      <w:pPr>
        <w:ind w:left="34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5" w:tplc="06507F54">
      <w:start w:val="1"/>
      <w:numFmt w:val="lowerRoman"/>
      <w:lvlText w:val="%6"/>
      <w:lvlJc w:val="left"/>
      <w:pPr>
        <w:ind w:left="41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6" w:tplc="333A8330">
      <w:start w:val="1"/>
      <w:numFmt w:val="decimal"/>
      <w:lvlText w:val="%7"/>
      <w:lvlJc w:val="left"/>
      <w:pPr>
        <w:ind w:left="485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7" w:tplc="657248E2">
      <w:start w:val="1"/>
      <w:numFmt w:val="lowerLetter"/>
      <w:lvlText w:val="%8"/>
      <w:lvlJc w:val="left"/>
      <w:pPr>
        <w:ind w:left="557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8" w:tplc="7C3A3B8A">
      <w:start w:val="1"/>
      <w:numFmt w:val="lowerRoman"/>
      <w:lvlText w:val="%9"/>
      <w:lvlJc w:val="left"/>
      <w:pPr>
        <w:ind w:left="629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abstractNum>
  <w:abstractNum w:abstractNumId="1" w15:restartNumberingAfterBreak="0">
    <w:nsid w:val="333405CF"/>
    <w:multiLevelType w:val="hybridMultilevel"/>
    <w:tmpl w:val="0FA205EC"/>
    <w:lvl w:ilvl="0" w:tplc="8E8ADE06">
      <w:start w:val="60"/>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22903968">
      <w:start w:val="1"/>
      <w:numFmt w:val="lowerLetter"/>
      <w:lvlText w:val="%2"/>
      <w:lvlJc w:val="left"/>
      <w:pPr>
        <w:ind w:left="125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2" w:tplc="AEE6498E">
      <w:start w:val="1"/>
      <w:numFmt w:val="lowerRoman"/>
      <w:lvlText w:val="%3"/>
      <w:lvlJc w:val="left"/>
      <w:pPr>
        <w:ind w:left="197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3" w:tplc="1C400364">
      <w:start w:val="1"/>
      <w:numFmt w:val="decimal"/>
      <w:lvlText w:val="%4"/>
      <w:lvlJc w:val="left"/>
      <w:pPr>
        <w:ind w:left="269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4" w:tplc="87347132">
      <w:start w:val="1"/>
      <w:numFmt w:val="lowerLetter"/>
      <w:lvlText w:val="%5"/>
      <w:lvlJc w:val="left"/>
      <w:pPr>
        <w:ind w:left="34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5" w:tplc="E8DE10E2">
      <w:start w:val="1"/>
      <w:numFmt w:val="lowerRoman"/>
      <w:lvlText w:val="%6"/>
      <w:lvlJc w:val="left"/>
      <w:pPr>
        <w:ind w:left="41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6" w:tplc="206C1508">
      <w:start w:val="1"/>
      <w:numFmt w:val="decimal"/>
      <w:lvlText w:val="%7"/>
      <w:lvlJc w:val="left"/>
      <w:pPr>
        <w:ind w:left="485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7" w:tplc="4672FB00">
      <w:start w:val="1"/>
      <w:numFmt w:val="lowerLetter"/>
      <w:lvlText w:val="%8"/>
      <w:lvlJc w:val="left"/>
      <w:pPr>
        <w:ind w:left="557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8" w:tplc="B8B6B90A">
      <w:start w:val="1"/>
      <w:numFmt w:val="lowerRoman"/>
      <w:lvlText w:val="%9"/>
      <w:lvlJc w:val="left"/>
      <w:pPr>
        <w:ind w:left="629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abstractNum>
  <w:abstractNum w:abstractNumId="2" w15:restartNumberingAfterBreak="0">
    <w:nsid w:val="43CC26CB"/>
    <w:multiLevelType w:val="hybridMultilevel"/>
    <w:tmpl w:val="E5F227B6"/>
    <w:lvl w:ilvl="0" w:tplc="F376984A">
      <w:start w:val="3"/>
      <w:numFmt w:val="decimal"/>
      <w:lvlText w:val="%1"/>
      <w:lvlJc w:val="left"/>
      <w:pPr>
        <w:ind w:left="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E01ADC7A">
      <w:start w:val="1"/>
      <w:numFmt w:val="lowerLetter"/>
      <w:lvlText w:val="%2"/>
      <w:lvlJc w:val="left"/>
      <w:pPr>
        <w:ind w:left="125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2" w:tplc="E8EAFFCC">
      <w:start w:val="1"/>
      <w:numFmt w:val="lowerRoman"/>
      <w:lvlText w:val="%3"/>
      <w:lvlJc w:val="left"/>
      <w:pPr>
        <w:ind w:left="197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3" w:tplc="DD5A850A">
      <w:start w:val="1"/>
      <w:numFmt w:val="decimal"/>
      <w:lvlText w:val="%4"/>
      <w:lvlJc w:val="left"/>
      <w:pPr>
        <w:ind w:left="269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4" w:tplc="3F1094E0">
      <w:start w:val="1"/>
      <w:numFmt w:val="lowerLetter"/>
      <w:lvlText w:val="%5"/>
      <w:lvlJc w:val="left"/>
      <w:pPr>
        <w:ind w:left="34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5" w:tplc="C09A6B76">
      <w:start w:val="1"/>
      <w:numFmt w:val="lowerRoman"/>
      <w:lvlText w:val="%6"/>
      <w:lvlJc w:val="left"/>
      <w:pPr>
        <w:ind w:left="41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6" w:tplc="2F9E4D3C">
      <w:start w:val="1"/>
      <w:numFmt w:val="decimal"/>
      <w:lvlText w:val="%7"/>
      <w:lvlJc w:val="left"/>
      <w:pPr>
        <w:ind w:left="485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7" w:tplc="60783E04">
      <w:start w:val="1"/>
      <w:numFmt w:val="lowerLetter"/>
      <w:lvlText w:val="%8"/>
      <w:lvlJc w:val="left"/>
      <w:pPr>
        <w:ind w:left="557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8" w:tplc="81563DCE">
      <w:start w:val="1"/>
      <w:numFmt w:val="lowerRoman"/>
      <w:lvlText w:val="%9"/>
      <w:lvlJc w:val="left"/>
      <w:pPr>
        <w:ind w:left="629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abstractNum>
  <w:abstractNum w:abstractNumId="3" w15:restartNumberingAfterBreak="0">
    <w:nsid w:val="4C464ECD"/>
    <w:multiLevelType w:val="hybridMultilevel"/>
    <w:tmpl w:val="8982CD1C"/>
    <w:lvl w:ilvl="0" w:tplc="2430C85E">
      <w:start w:val="146"/>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6FBAD3DA">
      <w:start w:val="1"/>
      <w:numFmt w:val="lowerLetter"/>
      <w:lvlText w:val="%2"/>
      <w:lvlJc w:val="left"/>
      <w:pPr>
        <w:ind w:left="125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2" w:tplc="F91EBB60">
      <w:start w:val="1"/>
      <w:numFmt w:val="lowerRoman"/>
      <w:lvlText w:val="%3"/>
      <w:lvlJc w:val="left"/>
      <w:pPr>
        <w:ind w:left="197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3" w:tplc="0430281C">
      <w:start w:val="1"/>
      <w:numFmt w:val="decimal"/>
      <w:lvlText w:val="%4"/>
      <w:lvlJc w:val="left"/>
      <w:pPr>
        <w:ind w:left="269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4" w:tplc="0696F236">
      <w:start w:val="1"/>
      <w:numFmt w:val="lowerLetter"/>
      <w:lvlText w:val="%5"/>
      <w:lvlJc w:val="left"/>
      <w:pPr>
        <w:ind w:left="34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5" w:tplc="B010D35C">
      <w:start w:val="1"/>
      <w:numFmt w:val="lowerRoman"/>
      <w:lvlText w:val="%6"/>
      <w:lvlJc w:val="left"/>
      <w:pPr>
        <w:ind w:left="41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6" w:tplc="18BEB8EA">
      <w:start w:val="1"/>
      <w:numFmt w:val="decimal"/>
      <w:lvlText w:val="%7"/>
      <w:lvlJc w:val="left"/>
      <w:pPr>
        <w:ind w:left="485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7" w:tplc="9992188A">
      <w:start w:val="1"/>
      <w:numFmt w:val="lowerLetter"/>
      <w:lvlText w:val="%8"/>
      <w:lvlJc w:val="left"/>
      <w:pPr>
        <w:ind w:left="557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8" w:tplc="DB587BF0">
      <w:start w:val="1"/>
      <w:numFmt w:val="lowerRoman"/>
      <w:lvlText w:val="%9"/>
      <w:lvlJc w:val="left"/>
      <w:pPr>
        <w:ind w:left="629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4E2E03B9"/>
    <w:multiLevelType w:val="hybridMultilevel"/>
    <w:tmpl w:val="FB3E2A6C"/>
    <w:lvl w:ilvl="0" w:tplc="EFF06C84">
      <w:start w:val="98"/>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870E9708">
      <w:start w:val="1"/>
      <w:numFmt w:val="lowerLetter"/>
      <w:lvlText w:val="%2"/>
      <w:lvlJc w:val="left"/>
      <w:pPr>
        <w:ind w:left="129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2" w:tplc="8402B01A">
      <w:start w:val="1"/>
      <w:numFmt w:val="lowerRoman"/>
      <w:lvlText w:val="%3"/>
      <w:lvlJc w:val="left"/>
      <w:pPr>
        <w:ind w:left="201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3" w:tplc="42D8B2CC">
      <w:start w:val="1"/>
      <w:numFmt w:val="decimal"/>
      <w:lvlText w:val="%4"/>
      <w:lvlJc w:val="left"/>
      <w:pPr>
        <w:ind w:left="273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4" w:tplc="A824F65C">
      <w:start w:val="1"/>
      <w:numFmt w:val="lowerLetter"/>
      <w:lvlText w:val="%5"/>
      <w:lvlJc w:val="left"/>
      <w:pPr>
        <w:ind w:left="345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5" w:tplc="CC72CCCE">
      <w:start w:val="1"/>
      <w:numFmt w:val="lowerRoman"/>
      <w:lvlText w:val="%6"/>
      <w:lvlJc w:val="left"/>
      <w:pPr>
        <w:ind w:left="417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6" w:tplc="AFC0C6EA">
      <w:start w:val="1"/>
      <w:numFmt w:val="decimal"/>
      <w:lvlText w:val="%7"/>
      <w:lvlJc w:val="left"/>
      <w:pPr>
        <w:ind w:left="489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7" w:tplc="8B140F64">
      <w:start w:val="1"/>
      <w:numFmt w:val="lowerLetter"/>
      <w:lvlText w:val="%8"/>
      <w:lvlJc w:val="left"/>
      <w:pPr>
        <w:ind w:left="561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8" w:tplc="D28496DA">
      <w:start w:val="1"/>
      <w:numFmt w:val="lowerRoman"/>
      <w:lvlText w:val="%9"/>
      <w:lvlJc w:val="left"/>
      <w:pPr>
        <w:ind w:left="633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9CF"/>
    <w:rsid w:val="007479CF"/>
    <w:rsid w:val="00CD28B5"/>
    <w:rsid w:val="00D152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C15C4DF2-FEAB-0247-978D-7495513D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7" w:lineRule="auto"/>
      <w:ind w:firstLine="205"/>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line="259" w:lineRule="auto"/>
      <w:ind w:left="10" w:right="7" w:hanging="10"/>
      <w:jc w:val="center"/>
      <w:outlineLvl w:val="0"/>
    </w:pPr>
    <w:rPr>
      <w:rFonts w:ascii="Times New Roman" w:eastAsia="Times New Roman" w:hAnsi="Times New Roman" w:cs="Times New Roman"/>
      <w:b/>
      <w:color w:val="000000"/>
      <w:sz w:val="34"/>
    </w:rPr>
  </w:style>
  <w:style w:type="paragraph" w:styleId="Heading2">
    <w:name w:val="heading 2"/>
    <w:next w:val="Normal"/>
    <w:link w:val="Heading2Char"/>
    <w:uiPriority w:val="9"/>
    <w:unhideWhenUsed/>
    <w:qFormat/>
    <w:pPr>
      <w:keepNext/>
      <w:keepLines/>
      <w:spacing w:after="21" w:line="259" w:lineRule="auto"/>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13" w:line="263" w:lineRule="auto"/>
      <w:ind w:left="10" w:hanging="10"/>
      <w:outlineLvl w:val="2"/>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4"/>
    </w:rPr>
  </w:style>
  <w:style w:type="paragraph" w:customStyle="1" w:styleId="footnotedescription">
    <w:name w:val="footnote description"/>
    <w:next w:val="Normal"/>
    <w:link w:val="footnotedescriptionChar"/>
    <w:hidden/>
    <w:pPr>
      <w:spacing w:line="251" w:lineRule="auto"/>
      <w:ind w:firstLine="175"/>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3Char">
    <w:name w:val="Heading 3 Char"/>
    <w:link w:val="Heading3"/>
    <w:rPr>
      <w:rFonts w:ascii="Calibri" w:eastAsia="Calibri" w:hAnsi="Calibri" w:cs="Calibri"/>
      <w:color w:val="000000"/>
      <w:sz w:val="22"/>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15478</Words>
  <Characters>88226</Characters>
  <Application>Microsoft Office Word</Application>
  <DocSecurity>0</DocSecurity>
  <Lines>735</Lines>
  <Paragraphs>206</Paragraphs>
  <ScaleCrop>false</ScaleCrop>
  <Company/>
  <LinksUpToDate>false</LinksUpToDate>
  <CharactersWithSpaces>103498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Functional Method of Comparative Law</dc:title>
  <dc:subject/>
  <dc:creator>Ralf Michaels</dc:creator>
  <cp:keywords/>
  <cp:lastModifiedBy>Victoria Reznik</cp:lastModifiedBy>
  <cp:revision>2</cp:revision>
  <dcterms:created xsi:type="dcterms:W3CDTF">2021-07-14T16:48:00Z</dcterms:created>
  <dcterms:modified xsi:type="dcterms:W3CDTF">2021-07-14T16:48:00Z</dcterms:modified>
</cp:coreProperties>
</file>